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8664837"/>
        <w:docPartObj>
          <w:docPartGallery w:val="Cover Pages"/>
          <w:docPartUnique/>
        </w:docPartObj>
      </w:sdtPr>
      <w:sdtEndPr/>
      <w:sdtContent>
        <w:p w14:paraId="24A28877" w14:textId="1553A8C4" w:rsidR="00D26ABF" w:rsidRDefault="00D26ABF" w:rsidP="00F17193"/>
        <w:p w14:paraId="27614029" w14:textId="5F4366C6" w:rsidR="00D26ABF" w:rsidRDefault="00204252" w:rsidP="00F17193">
          <w:r>
            <w:rPr>
              <w:noProof/>
            </w:rPr>
            <mc:AlternateContent>
              <mc:Choice Requires="wps">
                <w:drawing>
                  <wp:anchor distT="0" distB="0" distL="114300" distR="114300" simplePos="0" relativeHeight="251665408" behindDoc="0" locked="0" layoutInCell="1" allowOverlap="1" wp14:anchorId="0BE5A692" wp14:editId="02384760">
                    <wp:simplePos x="0" y="0"/>
                    <wp:positionH relativeFrom="page">
                      <wp:posOffset>1097280</wp:posOffset>
                    </wp:positionH>
                    <wp:positionV relativeFrom="page">
                      <wp:posOffset>1876508</wp:posOffset>
                    </wp:positionV>
                    <wp:extent cx="4902835" cy="1900362"/>
                    <wp:effectExtent l="0" t="0" r="0" b="5080"/>
                    <wp:wrapSquare wrapText="bothSides"/>
                    <wp:docPr id="41" name="Zone de texte 470"/>
                    <wp:cNvGraphicFramePr/>
                    <a:graphic xmlns:a="http://schemas.openxmlformats.org/drawingml/2006/main">
                      <a:graphicData uri="http://schemas.microsoft.com/office/word/2010/wordprocessingShape">
                        <wps:wsp>
                          <wps:cNvSpPr txBox="1"/>
                          <wps:spPr>
                            <a:xfrm>
                              <a:off x="0" y="0"/>
                              <a:ext cx="4902835" cy="1900362"/>
                            </a:xfrm>
                            <a:prstGeom prst="rect">
                              <a:avLst/>
                            </a:prstGeom>
                            <a:noFill/>
                            <a:ln w="6350">
                              <a:noFill/>
                            </a:ln>
                            <a:effectLst/>
                          </wps:spPr>
                          <wps:txbx>
                            <w:txbxContent>
                              <w:sdt>
                                <w:sdtPr>
                                  <w:rPr>
                                    <w:rFonts w:ascii="Arial Black" w:eastAsiaTheme="majorEastAsia" w:hAnsi="Arial Black" w:cs="Arial"/>
                                    <w:b/>
                                    <w:color w:val="FFFFFF" w:themeColor="background1"/>
                                    <w:sz w:val="72"/>
                                    <w:szCs w:val="72"/>
                                  </w:rPr>
                                  <w:alias w:val="Titre"/>
                                  <w:id w:val="-938219988"/>
                                  <w:dataBinding w:prefixMappings="xmlns:ns0='http://schemas.openxmlformats.org/package/2006/metadata/core-properties' xmlns:ns1='http://purl.org/dc/elements/1.1/'" w:xpath="/ns0:coreProperties[1]/ns1:title[1]" w:storeItemID="{6C3C8BC8-F283-45AE-878A-BAB7291924A1}"/>
                                  <w:text/>
                                </w:sdtPr>
                                <w:sdtEndPr/>
                                <w:sdtContent>
                                  <w:p w14:paraId="32348EE0" w14:textId="25AE7A8F" w:rsidR="00845A7E" w:rsidRPr="00240ED2" w:rsidRDefault="00845A7E" w:rsidP="00A47CE4">
                                    <w:pPr>
                                      <w:spacing w:before="100" w:beforeAutospacing="1" w:after="360" w:line="720" w:lineRule="exact"/>
                                      <w:rPr>
                                        <w:rFonts w:ascii="Arial Black" w:eastAsiaTheme="majorEastAsia" w:hAnsi="Arial Black" w:cs="Arial"/>
                                        <w:b/>
                                        <w:color w:val="FFFFFF" w:themeColor="background1"/>
                                        <w:sz w:val="72"/>
                                        <w:szCs w:val="72"/>
                                      </w:rPr>
                                    </w:pPr>
                                    <w:r>
                                      <w:rPr>
                                        <w:rFonts w:ascii="Arial Black" w:eastAsiaTheme="majorEastAsia" w:hAnsi="Arial Black" w:cs="Arial"/>
                                        <w:b/>
                                        <w:color w:val="FFFFFF" w:themeColor="background1"/>
                                        <w:sz w:val="72"/>
                                        <w:szCs w:val="72"/>
                                      </w:rPr>
                                      <w:t>Identité Nationale de Santé</w:t>
                                    </w:r>
                                  </w:p>
                                </w:sdtContent>
                              </w:sdt>
                              <w:p w14:paraId="2559F5E7" w14:textId="337C905C" w:rsidR="00845A7E" w:rsidRPr="006F18A2" w:rsidRDefault="006F4DF3" w:rsidP="00A47CE4">
                                <w:pPr>
                                  <w:rPr>
                                    <w:rFonts w:eastAsiaTheme="majorEastAsia" w:cs="Arial"/>
                                    <w:color w:val="00A1CE"/>
                                    <w:sz w:val="40"/>
                                    <w:szCs w:val="40"/>
                                  </w:rPr>
                                </w:pPr>
                                <w:r>
                                  <w:rPr>
                                    <w:rFonts w:eastAsiaTheme="majorEastAsia" w:cs="Arial"/>
                                    <w:color w:val="00A1CE"/>
                                    <w:sz w:val="40"/>
                                    <w:szCs w:val="40"/>
                                  </w:rPr>
                                  <w:t>Modalité de calcul des indicateurs de suivi de qualification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E5A692" id="_x0000_t202" coordsize="21600,21600" o:spt="202" path="m,l,21600r21600,l21600,xe">
                    <v:stroke joinstyle="miter"/>
                    <v:path gradientshapeok="t" o:connecttype="rect"/>
                  </v:shapetype>
                  <v:shape id="Zone de texte 470" o:spid="_x0000_s1026" type="#_x0000_t202" style="position:absolute;left:0;text-align:left;margin-left:86.4pt;margin-top:147.75pt;width:386.05pt;height:14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" filled="f" stroked="f" strokeweight=".5pt">
                    <v:textbox>
                      <w:txbxContent>
                        <w:sdt>
                          <w:sdtPr>
                            <w:rPr>
                              <w:rFonts w:ascii="Arial Black" w:eastAsiaTheme="majorEastAsia" w:hAnsi="Arial Black" w:cs="Arial"/>
                              <w:b/>
                              <w:color w:val="FFFFFF" w:themeColor="background1"/>
                              <w:sz w:val="72"/>
                              <w:szCs w:val="72"/>
                            </w:rPr>
                            <w:alias w:val="Titre"/>
                            <w:id w:val="-938219988"/>
                            <w:dataBinding w:prefixMappings="xmlns:ns0='http://schemas.openxmlformats.org/package/2006/metadata/core-properties' xmlns:ns1='http://purl.org/dc/elements/1.1/'" w:xpath="/ns0:coreProperties[1]/ns1:title[1]" w:storeItemID="{6C3C8BC8-F283-45AE-878A-BAB7291924A1}"/>
                            <w:text/>
                          </w:sdtPr>
                          <w:sdtEndPr/>
                          <w:sdtContent>
                            <w:p w14:paraId="32348EE0" w14:textId="25AE7A8F" w:rsidR="00845A7E" w:rsidRPr="00240ED2" w:rsidRDefault="00845A7E" w:rsidP="00A47CE4">
                              <w:pPr>
                                <w:spacing w:before="100" w:beforeAutospacing="1" w:after="360" w:line="720" w:lineRule="exact"/>
                                <w:rPr>
                                  <w:rFonts w:ascii="Arial Black" w:eastAsiaTheme="majorEastAsia" w:hAnsi="Arial Black" w:cs="Arial"/>
                                  <w:b/>
                                  <w:color w:val="FFFFFF" w:themeColor="background1"/>
                                  <w:sz w:val="72"/>
                                  <w:szCs w:val="72"/>
                                </w:rPr>
                              </w:pPr>
                              <w:r>
                                <w:rPr>
                                  <w:rFonts w:ascii="Arial Black" w:eastAsiaTheme="majorEastAsia" w:hAnsi="Arial Black" w:cs="Arial"/>
                                  <w:b/>
                                  <w:color w:val="FFFFFF" w:themeColor="background1"/>
                                  <w:sz w:val="72"/>
                                  <w:szCs w:val="72"/>
                                </w:rPr>
                                <w:t>Identité Nationale de Santé</w:t>
                              </w:r>
                            </w:p>
                          </w:sdtContent>
                        </w:sdt>
                        <w:p w14:paraId="2559F5E7" w14:textId="337C905C" w:rsidR="00845A7E" w:rsidRPr="006F18A2" w:rsidRDefault="006F4DF3" w:rsidP="00A47CE4">
                          <w:pPr>
                            <w:rPr>
                              <w:rFonts w:eastAsiaTheme="majorEastAsia" w:cs="Arial"/>
                              <w:color w:val="00A1CE"/>
                              <w:sz w:val="40"/>
                              <w:szCs w:val="40"/>
                            </w:rPr>
                          </w:pPr>
                          <w:r>
                            <w:rPr>
                              <w:rFonts w:eastAsiaTheme="majorEastAsia" w:cs="Arial"/>
                              <w:color w:val="00A1CE"/>
                              <w:sz w:val="40"/>
                              <w:szCs w:val="40"/>
                            </w:rPr>
                            <w:t>Modalité de calcul des indicateurs de suivi de qualification</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805DDF3" wp14:editId="53C16B5B">
                    <wp:simplePos x="0" y="0"/>
                    <wp:positionH relativeFrom="column">
                      <wp:posOffset>160020</wp:posOffset>
                    </wp:positionH>
                    <wp:positionV relativeFrom="paragraph">
                      <wp:posOffset>2632406</wp:posOffset>
                    </wp:positionV>
                    <wp:extent cx="5255895"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525589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94A4A" id="Connecteur droit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207.3pt" to="426.4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" strokecolor="white [3212]" strokeweight=".5pt">
                    <v:stroke joinstyle="miter"/>
                  </v:line>
                </w:pict>
              </mc:Fallback>
            </mc:AlternateContent>
          </w:r>
          <w:r>
            <w:rPr>
              <w:noProof/>
            </w:rPr>
            <mc:AlternateContent>
              <mc:Choice Requires="wps">
                <w:drawing>
                  <wp:anchor distT="0" distB="0" distL="114300" distR="114300" simplePos="0" relativeHeight="251660287" behindDoc="0" locked="0" layoutInCell="1" allowOverlap="1" wp14:anchorId="5393C7F7" wp14:editId="742C7441">
                    <wp:simplePos x="0" y="0"/>
                    <wp:positionH relativeFrom="margin">
                      <wp:align>center</wp:align>
                    </wp:positionH>
                    <wp:positionV relativeFrom="paragraph">
                      <wp:posOffset>193233</wp:posOffset>
                    </wp:positionV>
                    <wp:extent cx="7115175" cy="8183105"/>
                    <wp:effectExtent l="0" t="0" r="28575" b="27940"/>
                    <wp:wrapNone/>
                    <wp:docPr id="30" name="Rectangle 30"/>
                    <wp:cNvGraphicFramePr/>
                    <a:graphic xmlns:a="http://schemas.openxmlformats.org/drawingml/2006/main">
                      <a:graphicData uri="http://schemas.microsoft.com/office/word/2010/wordprocessingShape">
                        <wps:wsp>
                          <wps:cNvSpPr/>
                          <wps:spPr>
                            <a:xfrm>
                              <a:off x="0" y="0"/>
                              <a:ext cx="7115175" cy="8183105"/>
                            </a:xfrm>
                            <a:prstGeom prst="rect">
                              <a:avLst/>
                            </a:prstGeom>
                            <a:solidFill>
                              <a:srgbClr val="1C335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29348" w14:textId="398512E7" w:rsidR="00845A7E" w:rsidRDefault="00845A7E" w:rsidP="00F17193">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3C7F7" id="Rectangle 30" o:spid="_x0000_s1027" style="position:absolute;left:0;text-align:left;margin-left:0;margin-top:15.2pt;width:560.25pt;height:644.3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" fillcolor="#1c3354" strokecolor="#1f3763 [1604]" strokeweight="1pt">
                    <v:textbox>
                      <w:txbxContent>
                        <w:p w14:paraId="65129348" w14:textId="398512E7" w:rsidR="00845A7E" w:rsidRDefault="00845A7E" w:rsidP="00F17193">
                          <w:r>
                            <w:softHyphen/>
                          </w:r>
                          <w:r>
                            <w:softHyphen/>
                          </w:r>
                          <w:r>
                            <w:softHyphen/>
                          </w:r>
                        </w:p>
                      </w:txbxContent>
                    </v:textbox>
                    <w10:wrap anchorx="margin"/>
                  </v:rect>
                </w:pict>
              </mc:Fallback>
            </mc:AlternateContent>
          </w:r>
          <w:r w:rsidR="00240ED2">
            <w:rPr>
              <w:noProof/>
            </w:rPr>
            <w:drawing>
              <wp:anchor distT="0" distB="0" distL="114300" distR="114300" simplePos="0" relativeHeight="251662336" behindDoc="0" locked="0" layoutInCell="1" allowOverlap="1" wp14:anchorId="71B5E1D8" wp14:editId="0A0DD5A2">
                <wp:simplePos x="0" y="0"/>
                <wp:positionH relativeFrom="column">
                  <wp:posOffset>212090</wp:posOffset>
                </wp:positionH>
                <wp:positionV relativeFrom="paragraph">
                  <wp:posOffset>2596773</wp:posOffset>
                </wp:positionV>
                <wp:extent cx="5172151" cy="5800187"/>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S_INS-Doc-Word-Type-Illustr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2151" cy="5800187"/>
                        </a:xfrm>
                        <a:prstGeom prst="rect">
                          <a:avLst/>
                        </a:prstGeom>
                      </pic:spPr>
                    </pic:pic>
                  </a:graphicData>
                </a:graphic>
                <wp14:sizeRelH relativeFrom="margin">
                  <wp14:pctWidth>0</wp14:pctWidth>
                </wp14:sizeRelH>
                <wp14:sizeRelV relativeFrom="margin">
                  <wp14:pctHeight>0</wp14:pctHeight>
                </wp14:sizeRelV>
              </wp:anchor>
            </w:drawing>
          </w:r>
          <w:r w:rsidR="00D26ABF">
            <w:br w:type="page"/>
          </w:r>
        </w:p>
      </w:sdtContent>
    </w:sdt>
    <w:sdt>
      <w:sdtPr>
        <w:rPr>
          <w:rFonts w:ascii="Arial" w:eastAsiaTheme="minorHAnsi" w:hAnsi="Arial" w:cstheme="minorBidi"/>
          <w:color w:val="000000" w:themeColor="text1"/>
          <w:sz w:val="24"/>
          <w:szCs w:val="24"/>
        </w:rPr>
        <w:id w:val="1010332562"/>
        <w:docPartObj>
          <w:docPartGallery w:val="Table of Contents"/>
          <w:docPartUnique/>
        </w:docPartObj>
      </w:sdtPr>
      <w:sdtEndPr>
        <w:rPr>
          <w:b/>
          <w:bCs/>
        </w:rPr>
      </w:sdtEndPr>
      <w:sdtContent>
        <w:p w14:paraId="07D7904B" w14:textId="7A655FE1" w:rsidR="00021AFF" w:rsidRPr="00D232A6" w:rsidRDefault="00021AFF" w:rsidP="001F5A29">
          <w:pPr>
            <w:pStyle w:val="En-ttedetabledesmatires"/>
            <w:rPr>
              <w:rFonts w:ascii="Arial Black" w:hAnsi="Arial Black"/>
              <w:b/>
              <w:bCs/>
              <w:color w:val="27457B"/>
              <w:sz w:val="56"/>
              <w:szCs w:val="56"/>
              <w:lang w:eastAsia="en-US"/>
            </w:rPr>
          </w:pPr>
          <w:r w:rsidRPr="00D232A6">
            <w:rPr>
              <w:rFonts w:ascii="Arial Black" w:hAnsi="Arial Black"/>
              <w:b/>
              <w:bCs/>
              <w:color w:val="27457B"/>
              <w:sz w:val="56"/>
              <w:szCs w:val="56"/>
              <w:lang w:eastAsia="en-US"/>
            </w:rPr>
            <w:t>Table des matières</w:t>
          </w:r>
        </w:p>
        <w:p w14:paraId="07464DE9" w14:textId="186367FC" w:rsidR="00D07ED2" w:rsidRDefault="00021AFF">
          <w:pPr>
            <w:pStyle w:val="TM1"/>
            <w:rPr>
              <w:rFonts w:asciiTheme="minorHAnsi" w:eastAsiaTheme="minorEastAsia" w:hAnsiTheme="minorHAnsi"/>
              <w:noProof/>
              <w:color w:val="auto"/>
              <w:sz w:val="22"/>
              <w:szCs w:val="22"/>
            </w:rPr>
          </w:pPr>
          <w:r w:rsidRPr="00E90538">
            <w:rPr>
              <w:rStyle w:val="Lienhypertexte"/>
              <w:noProof/>
              <w:color w:val="5788A8"/>
            </w:rPr>
            <w:fldChar w:fldCharType="begin"/>
          </w:r>
          <w:r w:rsidRPr="00E90538">
            <w:rPr>
              <w:rStyle w:val="Lienhypertexte"/>
              <w:noProof/>
              <w:color w:val="5788A8"/>
            </w:rPr>
            <w:instrText xml:space="preserve"> TOC \o "1-3" \h \z \u </w:instrText>
          </w:r>
          <w:r w:rsidRPr="00E90538">
            <w:rPr>
              <w:rStyle w:val="Lienhypertexte"/>
              <w:noProof/>
              <w:color w:val="5788A8"/>
            </w:rPr>
            <w:fldChar w:fldCharType="separate"/>
          </w:r>
          <w:hyperlink w:anchor="_Toc120173399" w:history="1">
            <w:r w:rsidR="00D07ED2" w:rsidRPr="00DE7C86">
              <w:rPr>
                <w:rStyle w:val="Lienhypertexte"/>
                <w:noProof/>
              </w:rPr>
              <w:t>1. Objectifs de la fiche</w:t>
            </w:r>
            <w:r w:rsidR="00D07ED2">
              <w:rPr>
                <w:noProof/>
                <w:webHidden/>
              </w:rPr>
              <w:tab/>
            </w:r>
            <w:r w:rsidR="00D07ED2">
              <w:rPr>
                <w:noProof/>
                <w:webHidden/>
              </w:rPr>
              <w:fldChar w:fldCharType="begin"/>
            </w:r>
            <w:r w:rsidR="00D07ED2">
              <w:rPr>
                <w:noProof/>
                <w:webHidden/>
              </w:rPr>
              <w:instrText xml:space="preserve"> PAGEREF _Toc120173399 \h </w:instrText>
            </w:r>
            <w:r w:rsidR="00D07ED2">
              <w:rPr>
                <w:noProof/>
                <w:webHidden/>
              </w:rPr>
            </w:r>
            <w:r w:rsidR="00D07ED2">
              <w:rPr>
                <w:noProof/>
                <w:webHidden/>
              </w:rPr>
              <w:fldChar w:fldCharType="separate"/>
            </w:r>
            <w:r w:rsidR="00D07ED2">
              <w:rPr>
                <w:noProof/>
                <w:webHidden/>
              </w:rPr>
              <w:t>2</w:t>
            </w:r>
            <w:r w:rsidR="00D07ED2">
              <w:rPr>
                <w:noProof/>
                <w:webHidden/>
              </w:rPr>
              <w:fldChar w:fldCharType="end"/>
            </w:r>
          </w:hyperlink>
        </w:p>
        <w:p w14:paraId="2F27933A" w14:textId="4E4BD6A6" w:rsidR="00D07ED2" w:rsidRDefault="007F282F">
          <w:pPr>
            <w:pStyle w:val="TM1"/>
            <w:rPr>
              <w:rFonts w:asciiTheme="minorHAnsi" w:eastAsiaTheme="minorEastAsia" w:hAnsiTheme="minorHAnsi"/>
              <w:noProof/>
              <w:color w:val="auto"/>
              <w:sz w:val="22"/>
              <w:szCs w:val="22"/>
            </w:rPr>
          </w:pPr>
          <w:hyperlink w:anchor="_Toc120173400" w:history="1">
            <w:r w:rsidR="00D07ED2" w:rsidRPr="00DE7C86">
              <w:rPr>
                <w:rStyle w:val="Lienhypertexte"/>
                <w:noProof/>
              </w:rPr>
              <w:t>2.  Modalités de calcul dans les établissements de santé</w:t>
            </w:r>
            <w:r w:rsidR="00D07ED2">
              <w:rPr>
                <w:noProof/>
                <w:webHidden/>
              </w:rPr>
              <w:tab/>
            </w:r>
            <w:r w:rsidR="00D07ED2">
              <w:rPr>
                <w:noProof/>
                <w:webHidden/>
              </w:rPr>
              <w:fldChar w:fldCharType="begin"/>
            </w:r>
            <w:r w:rsidR="00D07ED2">
              <w:rPr>
                <w:noProof/>
                <w:webHidden/>
              </w:rPr>
              <w:instrText xml:space="preserve"> PAGEREF _Toc120173400 \h </w:instrText>
            </w:r>
            <w:r w:rsidR="00D07ED2">
              <w:rPr>
                <w:noProof/>
                <w:webHidden/>
              </w:rPr>
            </w:r>
            <w:r w:rsidR="00D07ED2">
              <w:rPr>
                <w:noProof/>
                <w:webHidden/>
              </w:rPr>
              <w:fldChar w:fldCharType="separate"/>
            </w:r>
            <w:r w:rsidR="00D07ED2">
              <w:rPr>
                <w:noProof/>
                <w:webHidden/>
              </w:rPr>
              <w:t>3</w:t>
            </w:r>
            <w:r w:rsidR="00D07ED2">
              <w:rPr>
                <w:noProof/>
                <w:webHidden/>
              </w:rPr>
              <w:fldChar w:fldCharType="end"/>
            </w:r>
          </w:hyperlink>
        </w:p>
        <w:p w14:paraId="1C47D8A9" w14:textId="308AF229" w:rsidR="00D07ED2" w:rsidRDefault="007F282F">
          <w:pPr>
            <w:pStyle w:val="TM1"/>
            <w:rPr>
              <w:rFonts w:asciiTheme="minorHAnsi" w:eastAsiaTheme="minorEastAsia" w:hAnsiTheme="minorHAnsi"/>
              <w:noProof/>
              <w:color w:val="auto"/>
              <w:sz w:val="22"/>
              <w:szCs w:val="22"/>
            </w:rPr>
          </w:pPr>
          <w:hyperlink w:anchor="_Toc120173401" w:history="1">
            <w:r w:rsidR="00D07ED2" w:rsidRPr="00DE7C86">
              <w:rPr>
                <w:rStyle w:val="Lienhypertexte"/>
                <w:noProof/>
              </w:rPr>
              <w:t>Phase 1 : les critères et données issues du logiciel de gestion administrative du patient (GAP)</w:t>
            </w:r>
            <w:r w:rsidR="00D07ED2">
              <w:rPr>
                <w:noProof/>
                <w:webHidden/>
              </w:rPr>
              <w:tab/>
            </w:r>
            <w:r w:rsidR="00D07ED2">
              <w:rPr>
                <w:noProof/>
                <w:webHidden/>
              </w:rPr>
              <w:fldChar w:fldCharType="begin"/>
            </w:r>
            <w:r w:rsidR="00D07ED2">
              <w:rPr>
                <w:noProof/>
                <w:webHidden/>
              </w:rPr>
              <w:instrText xml:space="preserve"> PAGEREF _Toc120173401 \h </w:instrText>
            </w:r>
            <w:r w:rsidR="00D07ED2">
              <w:rPr>
                <w:noProof/>
                <w:webHidden/>
              </w:rPr>
            </w:r>
            <w:r w:rsidR="00D07ED2">
              <w:rPr>
                <w:noProof/>
                <w:webHidden/>
              </w:rPr>
              <w:fldChar w:fldCharType="separate"/>
            </w:r>
            <w:r w:rsidR="00D07ED2">
              <w:rPr>
                <w:noProof/>
                <w:webHidden/>
              </w:rPr>
              <w:t>3</w:t>
            </w:r>
            <w:r w:rsidR="00D07ED2">
              <w:rPr>
                <w:noProof/>
                <w:webHidden/>
              </w:rPr>
              <w:fldChar w:fldCharType="end"/>
            </w:r>
          </w:hyperlink>
        </w:p>
        <w:p w14:paraId="0B4F94E7" w14:textId="227D2FD4" w:rsidR="00D07ED2" w:rsidRDefault="007F282F">
          <w:pPr>
            <w:pStyle w:val="TM1"/>
            <w:rPr>
              <w:rFonts w:asciiTheme="minorHAnsi" w:eastAsiaTheme="minorEastAsia" w:hAnsiTheme="minorHAnsi"/>
              <w:noProof/>
              <w:color w:val="auto"/>
              <w:sz w:val="22"/>
              <w:szCs w:val="22"/>
            </w:rPr>
          </w:pPr>
          <w:hyperlink w:anchor="_Toc120173402" w:history="1">
            <w:r w:rsidR="00D07ED2" w:rsidRPr="00DE7C86">
              <w:rPr>
                <w:rStyle w:val="Lienhypertexte"/>
                <w:noProof/>
              </w:rPr>
              <w:t>Phase 2 : les critères et données issues du référentiel d’identité</w:t>
            </w:r>
            <w:r w:rsidR="00D07ED2">
              <w:rPr>
                <w:noProof/>
                <w:webHidden/>
              </w:rPr>
              <w:tab/>
            </w:r>
            <w:r w:rsidR="00D07ED2">
              <w:rPr>
                <w:noProof/>
                <w:webHidden/>
              </w:rPr>
              <w:fldChar w:fldCharType="begin"/>
            </w:r>
            <w:r w:rsidR="00D07ED2">
              <w:rPr>
                <w:noProof/>
                <w:webHidden/>
              </w:rPr>
              <w:instrText xml:space="preserve"> PAGEREF _Toc120173402 \h </w:instrText>
            </w:r>
            <w:r w:rsidR="00D07ED2">
              <w:rPr>
                <w:noProof/>
                <w:webHidden/>
              </w:rPr>
            </w:r>
            <w:r w:rsidR="00D07ED2">
              <w:rPr>
                <w:noProof/>
                <w:webHidden/>
              </w:rPr>
              <w:fldChar w:fldCharType="separate"/>
            </w:r>
            <w:r w:rsidR="00D07ED2">
              <w:rPr>
                <w:noProof/>
                <w:webHidden/>
              </w:rPr>
              <w:t>3</w:t>
            </w:r>
            <w:r w:rsidR="00D07ED2">
              <w:rPr>
                <w:noProof/>
                <w:webHidden/>
              </w:rPr>
              <w:fldChar w:fldCharType="end"/>
            </w:r>
          </w:hyperlink>
        </w:p>
        <w:p w14:paraId="07101CAA" w14:textId="5D82354E" w:rsidR="00D07ED2" w:rsidRDefault="007F282F">
          <w:pPr>
            <w:pStyle w:val="TM1"/>
            <w:rPr>
              <w:rFonts w:asciiTheme="minorHAnsi" w:eastAsiaTheme="minorEastAsia" w:hAnsiTheme="minorHAnsi"/>
              <w:noProof/>
              <w:color w:val="auto"/>
              <w:sz w:val="22"/>
              <w:szCs w:val="22"/>
            </w:rPr>
          </w:pPr>
          <w:hyperlink w:anchor="_Toc120173403" w:history="1">
            <w:r w:rsidR="00D07ED2" w:rsidRPr="00DE7C86">
              <w:rPr>
                <w:rStyle w:val="Lienhypertexte"/>
                <w:noProof/>
                <w:highlight w:val="yellow"/>
              </w:rPr>
              <w:t>3.  Modalités de calcul dans les établissements et services sociaux et médico-sociaux</w:t>
            </w:r>
            <w:r w:rsidR="00D07ED2">
              <w:rPr>
                <w:noProof/>
                <w:webHidden/>
              </w:rPr>
              <w:tab/>
            </w:r>
            <w:r w:rsidR="00D07ED2">
              <w:rPr>
                <w:noProof/>
                <w:webHidden/>
              </w:rPr>
              <w:fldChar w:fldCharType="begin"/>
            </w:r>
            <w:r w:rsidR="00D07ED2">
              <w:rPr>
                <w:noProof/>
                <w:webHidden/>
              </w:rPr>
              <w:instrText xml:space="preserve"> PAGEREF _Toc120173403 \h </w:instrText>
            </w:r>
            <w:r w:rsidR="00D07ED2">
              <w:rPr>
                <w:noProof/>
                <w:webHidden/>
              </w:rPr>
            </w:r>
            <w:r w:rsidR="00D07ED2">
              <w:rPr>
                <w:noProof/>
                <w:webHidden/>
              </w:rPr>
              <w:fldChar w:fldCharType="separate"/>
            </w:r>
            <w:r w:rsidR="00D07ED2">
              <w:rPr>
                <w:noProof/>
                <w:webHidden/>
              </w:rPr>
              <w:t>4</w:t>
            </w:r>
            <w:r w:rsidR="00D07ED2">
              <w:rPr>
                <w:noProof/>
                <w:webHidden/>
              </w:rPr>
              <w:fldChar w:fldCharType="end"/>
            </w:r>
          </w:hyperlink>
        </w:p>
        <w:p w14:paraId="57227033" w14:textId="102868D2" w:rsidR="009864CF" w:rsidRPr="009864CF" w:rsidRDefault="00021AFF" w:rsidP="00D231AF">
          <w:pPr>
            <w:pStyle w:val="TM1"/>
          </w:pPr>
          <w:r w:rsidRPr="00E90538">
            <w:rPr>
              <w:rStyle w:val="Lienhypertexte"/>
              <w:noProof/>
              <w:color w:val="5788A8"/>
            </w:rPr>
            <w:fldChar w:fldCharType="end"/>
          </w:r>
        </w:p>
      </w:sdtContent>
    </w:sdt>
    <w:p w14:paraId="75BC80E8" w14:textId="4E589440" w:rsidR="003003C2" w:rsidRDefault="002A1BF8" w:rsidP="003E16E8">
      <w:pPr>
        <w:pStyle w:val="Titre1"/>
        <w:numPr>
          <w:ilvl w:val="0"/>
          <w:numId w:val="0"/>
        </w:numPr>
        <w:ind w:left="360"/>
      </w:pPr>
      <w:r>
        <w:br w:type="page"/>
      </w:r>
    </w:p>
    <w:p w14:paraId="691F83A9" w14:textId="33C79C37" w:rsidR="00BB2756" w:rsidRPr="00CC183D" w:rsidRDefault="00BB2756" w:rsidP="00CC183D">
      <w:pPr>
        <w:pStyle w:val="Tetepara"/>
        <w:rPr>
          <w:rFonts w:cs="Arial"/>
          <w:color w:val="auto"/>
          <w:sz w:val="24"/>
          <w:szCs w:val="32"/>
        </w:rPr>
      </w:pPr>
      <w:r w:rsidRPr="00CC183D">
        <w:rPr>
          <w:rFonts w:cs="Arial"/>
          <w:color w:val="auto"/>
          <w:sz w:val="24"/>
          <w:szCs w:val="32"/>
        </w:rPr>
        <w:lastRenderedPageBreak/>
        <w:t>Historique du document</w:t>
      </w:r>
    </w:p>
    <w:p w14:paraId="1053CF18" w14:textId="7A3C75E6" w:rsidR="00477506" w:rsidRDefault="00477506" w:rsidP="00BB2756">
      <w:pPr>
        <w:rPr>
          <w:highlight w:val="yellow"/>
        </w:rPr>
      </w:pPr>
    </w:p>
    <w:tbl>
      <w:tblPr>
        <w:tblStyle w:val="TableauGrille1Clair-Accentuation5"/>
        <w:tblW w:w="9067" w:type="dxa"/>
        <w:tblLook w:val="04A0" w:firstRow="1" w:lastRow="0" w:firstColumn="1" w:lastColumn="0" w:noHBand="0" w:noVBand="1"/>
      </w:tblPr>
      <w:tblGrid>
        <w:gridCol w:w="2263"/>
        <w:gridCol w:w="6804"/>
      </w:tblGrid>
      <w:tr w:rsidR="00CC183D" w14:paraId="7EDABB52" w14:textId="77777777" w:rsidTr="00693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4079D98" w14:textId="0761AF20" w:rsidR="00CC183D" w:rsidRPr="00CC183D" w:rsidRDefault="00CC183D" w:rsidP="00CC183D">
            <w:pPr>
              <w:jc w:val="center"/>
            </w:pPr>
            <w:r w:rsidRPr="00CC183D">
              <w:t>Date</w:t>
            </w:r>
          </w:p>
        </w:tc>
        <w:tc>
          <w:tcPr>
            <w:tcW w:w="6804" w:type="dxa"/>
            <w:shd w:val="clear" w:color="auto" w:fill="auto"/>
          </w:tcPr>
          <w:p w14:paraId="4335B7D8" w14:textId="4D73FA5A" w:rsidR="00CC183D" w:rsidRPr="00CC183D" w:rsidRDefault="00CC183D" w:rsidP="00CC183D">
            <w:pPr>
              <w:jc w:val="center"/>
              <w:cnfStyle w:val="100000000000" w:firstRow="1" w:lastRow="0" w:firstColumn="0" w:lastColumn="0" w:oddVBand="0" w:evenVBand="0" w:oddHBand="0" w:evenHBand="0" w:firstRowFirstColumn="0" w:firstRowLastColumn="0" w:lastRowFirstColumn="0" w:lastRowLastColumn="0"/>
            </w:pPr>
            <w:r w:rsidRPr="00CC183D">
              <w:t>Contexte</w:t>
            </w:r>
          </w:p>
        </w:tc>
      </w:tr>
      <w:tr w:rsidR="00CC183D" w14:paraId="5BE5E991" w14:textId="77777777" w:rsidTr="00693559">
        <w:tc>
          <w:tcPr>
            <w:cnfStyle w:val="001000000000" w:firstRow="0" w:lastRow="0" w:firstColumn="1" w:lastColumn="0" w:oddVBand="0" w:evenVBand="0" w:oddHBand="0" w:evenHBand="0" w:firstRowFirstColumn="0" w:firstRowLastColumn="0" w:lastRowFirstColumn="0" w:lastRowLastColumn="0"/>
            <w:tcW w:w="2263" w:type="dxa"/>
          </w:tcPr>
          <w:p w14:paraId="504BEB47" w14:textId="0B04762D" w:rsidR="00CC183D" w:rsidRPr="00693559" w:rsidRDefault="00B82EFC" w:rsidP="00BB2756">
            <w:pPr>
              <w:rPr>
                <w:b w:val="0"/>
                <w:bCs w:val="0"/>
              </w:rPr>
            </w:pPr>
            <w:r>
              <w:rPr>
                <w:b w:val="0"/>
                <w:bCs w:val="0"/>
              </w:rPr>
              <w:t xml:space="preserve">Décembre </w:t>
            </w:r>
            <w:r w:rsidR="00B44E58">
              <w:rPr>
                <w:b w:val="0"/>
                <w:bCs w:val="0"/>
              </w:rPr>
              <w:t>2021</w:t>
            </w:r>
          </w:p>
        </w:tc>
        <w:tc>
          <w:tcPr>
            <w:tcW w:w="6804" w:type="dxa"/>
          </w:tcPr>
          <w:p w14:paraId="0B8DD9B7" w14:textId="25B35F77" w:rsidR="00CC183D" w:rsidRPr="00CC183D" w:rsidRDefault="00CC183D" w:rsidP="00BB2756">
            <w:pPr>
              <w:cnfStyle w:val="000000000000" w:firstRow="0" w:lastRow="0" w:firstColumn="0" w:lastColumn="0" w:oddVBand="0" w:evenVBand="0" w:oddHBand="0" w:evenHBand="0" w:firstRowFirstColumn="0" w:firstRowLastColumn="0" w:lastRowFirstColumn="0" w:lastRowLastColumn="0"/>
            </w:pPr>
            <w:r w:rsidRPr="00CC183D">
              <w:t>1</w:t>
            </w:r>
            <w:r w:rsidRPr="00CC183D">
              <w:rPr>
                <w:vertAlign w:val="superscript"/>
              </w:rPr>
              <w:t>ère</w:t>
            </w:r>
            <w:r w:rsidRPr="00CC183D">
              <w:t xml:space="preserve"> mise en ligne du document</w:t>
            </w:r>
          </w:p>
        </w:tc>
      </w:tr>
      <w:tr w:rsidR="00CC183D" w14:paraId="4E3FFDA1" w14:textId="77777777" w:rsidTr="00693559">
        <w:tc>
          <w:tcPr>
            <w:cnfStyle w:val="001000000000" w:firstRow="0" w:lastRow="0" w:firstColumn="1" w:lastColumn="0" w:oddVBand="0" w:evenVBand="0" w:oddHBand="0" w:evenHBand="0" w:firstRowFirstColumn="0" w:firstRowLastColumn="0" w:lastRowFirstColumn="0" w:lastRowLastColumn="0"/>
            <w:tcW w:w="2263" w:type="dxa"/>
          </w:tcPr>
          <w:p w14:paraId="5536E2DB" w14:textId="2FC7B78D" w:rsidR="00CC183D" w:rsidRPr="00693559" w:rsidRDefault="00693559" w:rsidP="00BB2756">
            <w:pPr>
              <w:rPr>
                <w:b w:val="0"/>
                <w:bCs w:val="0"/>
              </w:rPr>
            </w:pPr>
            <w:r w:rsidRPr="00693559">
              <w:rPr>
                <w:b w:val="0"/>
                <w:bCs w:val="0"/>
              </w:rPr>
              <w:t>Janvier 2022</w:t>
            </w:r>
          </w:p>
        </w:tc>
        <w:tc>
          <w:tcPr>
            <w:tcW w:w="6804" w:type="dxa"/>
          </w:tcPr>
          <w:p w14:paraId="35A9CD91" w14:textId="2B606DDF" w:rsidR="00CC183D" w:rsidRPr="00CC183D" w:rsidRDefault="008B53E8" w:rsidP="00BB2756">
            <w:pPr>
              <w:cnfStyle w:val="000000000000" w:firstRow="0" w:lastRow="0" w:firstColumn="0" w:lastColumn="0" w:oddVBand="0" w:evenVBand="0" w:oddHBand="0" w:evenHBand="0" w:firstRowFirstColumn="0" w:firstRowLastColumn="0" w:lastRowFirstColumn="0" w:lastRowLastColumn="0"/>
            </w:pPr>
            <w:r>
              <w:t>Précisions apportées sur les modalités de calcul</w:t>
            </w:r>
          </w:p>
        </w:tc>
      </w:tr>
      <w:tr w:rsidR="00CC183D" w14:paraId="1D5D193D" w14:textId="77777777" w:rsidTr="00693559">
        <w:tc>
          <w:tcPr>
            <w:cnfStyle w:val="001000000000" w:firstRow="0" w:lastRow="0" w:firstColumn="1" w:lastColumn="0" w:oddVBand="0" w:evenVBand="0" w:oddHBand="0" w:evenHBand="0" w:firstRowFirstColumn="0" w:firstRowLastColumn="0" w:lastRowFirstColumn="0" w:lastRowLastColumn="0"/>
            <w:tcW w:w="2263" w:type="dxa"/>
          </w:tcPr>
          <w:p w14:paraId="6745ECB1" w14:textId="44887C5B" w:rsidR="00CC183D" w:rsidRPr="00693559" w:rsidRDefault="00DB0CDA" w:rsidP="00BB2756">
            <w:pPr>
              <w:rPr>
                <w:b w:val="0"/>
                <w:bCs w:val="0"/>
              </w:rPr>
            </w:pPr>
            <w:r>
              <w:rPr>
                <w:b w:val="0"/>
                <w:bCs w:val="0"/>
              </w:rPr>
              <w:t>Décembr</w:t>
            </w:r>
            <w:r w:rsidR="008B53E8">
              <w:rPr>
                <w:b w:val="0"/>
                <w:bCs w:val="0"/>
              </w:rPr>
              <w:t>e 2022</w:t>
            </w:r>
          </w:p>
        </w:tc>
        <w:tc>
          <w:tcPr>
            <w:tcW w:w="6804" w:type="dxa"/>
          </w:tcPr>
          <w:p w14:paraId="00963432" w14:textId="5FBA27B7" w:rsidR="00CC183D" w:rsidRPr="00CC183D" w:rsidRDefault="00623F26" w:rsidP="00BB2756">
            <w:pPr>
              <w:cnfStyle w:val="000000000000" w:firstRow="0" w:lastRow="0" w:firstColumn="0" w:lastColumn="0" w:oddVBand="0" w:evenVBand="0" w:oddHBand="0" w:evenHBand="0" w:firstRowFirstColumn="0" w:firstRowLastColumn="0" w:lastRowFirstColumn="0" w:lastRowLastColumn="0"/>
            </w:pPr>
            <w:r>
              <w:t>Déclinaison d</w:t>
            </w:r>
            <w:r w:rsidR="00B44E58">
              <w:t>es modalités de calcul pour le médico-social</w:t>
            </w:r>
          </w:p>
        </w:tc>
      </w:tr>
    </w:tbl>
    <w:p w14:paraId="7C8402DE" w14:textId="77777777" w:rsidR="00477506" w:rsidRPr="000D3CA5" w:rsidRDefault="00477506" w:rsidP="00BB2756">
      <w:pPr>
        <w:rPr>
          <w:highlight w:val="yellow"/>
        </w:rPr>
      </w:pPr>
    </w:p>
    <w:p w14:paraId="373C4A85" w14:textId="06A70480" w:rsidR="00BB2756" w:rsidRPr="00B44E58" w:rsidRDefault="00CC183D" w:rsidP="00BB2756">
      <w:r w:rsidRPr="00D45559">
        <w:rPr>
          <w:highlight w:val="yellow"/>
        </w:rPr>
        <w:t xml:space="preserve">En jaune, les modifications apportées au document depuis sa </w:t>
      </w:r>
      <w:r w:rsidR="00646BFE">
        <w:rPr>
          <w:highlight w:val="yellow"/>
        </w:rPr>
        <w:t>première</w:t>
      </w:r>
      <w:r w:rsidRPr="00D45559">
        <w:rPr>
          <w:highlight w:val="yellow"/>
        </w:rPr>
        <w:t xml:space="preserve"> mise en ligne</w:t>
      </w:r>
      <w:r w:rsidR="00630301">
        <w:rPr>
          <w:highlight w:val="yellow"/>
        </w:rPr>
        <w:t xml:space="preserve"> (hors modifications de forme)</w:t>
      </w:r>
      <w:r w:rsidRPr="00D45559">
        <w:rPr>
          <w:highlight w:val="yellow"/>
        </w:rPr>
        <w:t>.</w:t>
      </w:r>
      <w:r w:rsidRPr="00B44E58">
        <w:t xml:space="preserve"> </w:t>
      </w:r>
    </w:p>
    <w:p w14:paraId="0A4434E5" w14:textId="2A5962DA" w:rsidR="00E97491" w:rsidRDefault="00B60472" w:rsidP="00B60472">
      <w:pPr>
        <w:pStyle w:val="Titre1"/>
        <w:numPr>
          <w:ilvl w:val="0"/>
          <w:numId w:val="0"/>
        </w:numPr>
        <w:ind w:left="360"/>
      </w:pPr>
      <w:bookmarkStart w:id="0" w:name="_Toc120173399"/>
      <w:r w:rsidRPr="007C7E98">
        <w:rPr>
          <w:sz w:val="40"/>
        </w:rPr>
        <w:t xml:space="preserve">1. </w:t>
      </w:r>
      <w:r w:rsidR="006F4DF3">
        <w:rPr>
          <w:sz w:val="40"/>
        </w:rPr>
        <w:t>Objectifs de la fiche</w:t>
      </w:r>
      <w:bookmarkEnd w:id="0"/>
    </w:p>
    <w:p w14:paraId="0020305F" w14:textId="721838D5" w:rsidR="003E16E8" w:rsidRPr="008E789E" w:rsidRDefault="006F4DF3" w:rsidP="006F4DF3">
      <w:r w:rsidRPr="008E789E">
        <w:t xml:space="preserve">Cette fiche a pour objectif de détailler les modalités de calcul des indicateurs de suivi de la qualification de l’identité numérique des patients dans </w:t>
      </w:r>
      <w:r w:rsidRPr="00646BFE">
        <w:rPr>
          <w:highlight w:val="yellow"/>
        </w:rPr>
        <w:t xml:space="preserve">les systèmes d’informations </w:t>
      </w:r>
      <w:r w:rsidR="00646BFE" w:rsidRPr="00646BFE">
        <w:rPr>
          <w:highlight w:val="yellow"/>
        </w:rPr>
        <w:t>(</w:t>
      </w:r>
      <w:r w:rsidRPr="00646BFE">
        <w:rPr>
          <w:highlight w:val="yellow"/>
        </w:rPr>
        <w:t>hospitaliers</w:t>
      </w:r>
      <w:r w:rsidR="00646BFE" w:rsidRPr="00646BFE">
        <w:rPr>
          <w:highlight w:val="yellow"/>
        </w:rPr>
        <w:t>, médico-sociaux etc.)</w:t>
      </w:r>
      <w:r w:rsidRPr="00646BFE">
        <w:rPr>
          <w:highlight w:val="yellow"/>
        </w:rPr>
        <w:t>.</w:t>
      </w:r>
    </w:p>
    <w:p w14:paraId="573F9E67" w14:textId="11A0100C" w:rsidR="006F4DF3" w:rsidRPr="008E789E" w:rsidRDefault="006F4DF3" w:rsidP="006F4DF3"/>
    <w:p w14:paraId="4908D829" w14:textId="77777777" w:rsidR="008E789E" w:rsidRPr="008E789E" w:rsidRDefault="006F4DF3" w:rsidP="006F4DF3">
      <w:r w:rsidRPr="008E789E">
        <w:t xml:space="preserve">Elle précise les modalités de calcul des indicateurs évoquées dans l’exigence 56 </w:t>
      </w:r>
      <w:hyperlink r:id="rId12" w:history="1">
        <w:r w:rsidRPr="008E789E">
          <w:rPr>
            <w:rStyle w:val="Lienhypertexte"/>
          </w:rPr>
          <w:t>du guide d’implémentation INS</w:t>
        </w:r>
      </w:hyperlink>
      <w:r w:rsidR="008E789E" w:rsidRPr="008E789E">
        <w:t xml:space="preserve">. </w:t>
      </w:r>
    </w:p>
    <w:p w14:paraId="0D74CAAF" w14:textId="77777777" w:rsidR="008E789E" w:rsidRPr="008E789E" w:rsidRDefault="008E789E" w:rsidP="006F4DF3"/>
    <w:p w14:paraId="449449D7" w14:textId="178652E3" w:rsidR="006F4DF3" w:rsidRPr="008E789E" w:rsidRDefault="008E789E" w:rsidP="006F4DF3">
      <w:r w:rsidRPr="008E789E">
        <w:t>Pour rappel, l’exigence 56 est obligatoire pour tous les logiciels référentiels d’identité :</w:t>
      </w:r>
    </w:p>
    <w:p w14:paraId="1A236360" w14:textId="77777777" w:rsidR="008E789E" w:rsidRPr="008E789E" w:rsidRDefault="008E789E" w:rsidP="006F4DF3">
      <w:pPr>
        <w:rPr>
          <w:i/>
        </w:rPr>
      </w:pPr>
      <w:r w:rsidRPr="008E789E">
        <w:rPr>
          <w:b/>
          <w:i/>
        </w:rPr>
        <w:t>« Règle 56 (criticité ***)</w:t>
      </w:r>
      <w:r w:rsidRPr="008E789E">
        <w:rPr>
          <w:i/>
        </w:rPr>
        <w:t xml:space="preserve"> – valable pour les logiciels référentiels des identités </w:t>
      </w:r>
    </w:p>
    <w:p w14:paraId="2D0A5C8A" w14:textId="66D140B8" w:rsidR="008E789E" w:rsidRPr="008E789E" w:rsidRDefault="008E789E" w:rsidP="006F4DF3">
      <w:pPr>
        <w:rPr>
          <w:i/>
        </w:rPr>
      </w:pPr>
      <w:r w:rsidRPr="008E789E">
        <w:rPr>
          <w:i/>
        </w:rPr>
        <w:t xml:space="preserve">Les indicateurs de suivi ci-dessous doivent </w:t>
      </w:r>
      <w:r w:rsidR="00770116" w:rsidRPr="008E789E">
        <w:rPr>
          <w:i/>
        </w:rPr>
        <w:t>à</w:t>
      </w:r>
      <w:r w:rsidRPr="008E789E">
        <w:rPr>
          <w:i/>
        </w:rPr>
        <w:t xml:space="preserve"> minima être mis en place dans les logiciels référentiels d’identités afin de suivre le déploiement de l’INS : </w:t>
      </w:r>
    </w:p>
    <w:p w14:paraId="4F33D47B" w14:textId="77777777" w:rsidR="008E789E" w:rsidRPr="008E789E" w:rsidRDefault="008E789E" w:rsidP="006F4DF3">
      <w:pPr>
        <w:rPr>
          <w:i/>
        </w:rPr>
      </w:pPr>
      <w:r w:rsidRPr="008E789E">
        <w:rPr>
          <w:i/>
        </w:rPr>
        <w:t>• taux d’identités au statut « identité provisoire »,</w:t>
      </w:r>
    </w:p>
    <w:p w14:paraId="33666F30" w14:textId="513FE587" w:rsidR="008E789E" w:rsidRPr="008E789E" w:rsidRDefault="008E789E" w:rsidP="006F4DF3">
      <w:pPr>
        <w:rPr>
          <w:i/>
        </w:rPr>
      </w:pPr>
      <w:r w:rsidRPr="008E789E">
        <w:rPr>
          <w:i/>
        </w:rPr>
        <w:t>• taux d’identités au statut « identité récupérée »,</w:t>
      </w:r>
    </w:p>
    <w:p w14:paraId="2201D481" w14:textId="134F3E57" w:rsidR="008E789E" w:rsidRPr="008E789E" w:rsidRDefault="008E789E" w:rsidP="006F4DF3">
      <w:pPr>
        <w:rPr>
          <w:i/>
        </w:rPr>
      </w:pPr>
      <w:r w:rsidRPr="008E789E">
        <w:rPr>
          <w:i/>
        </w:rPr>
        <w:t xml:space="preserve">• taux d’identités au statut « identité validée », </w:t>
      </w:r>
    </w:p>
    <w:p w14:paraId="17268564" w14:textId="7B75D502" w:rsidR="008E789E" w:rsidRPr="008E789E" w:rsidRDefault="008E789E" w:rsidP="006F4DF3">
      <w:r w:rsidRPr="008E789E">
        <w:rPr>
          <w:i/>
        </w:rPr>
        <w:t>• taux d’identités au statut « identité qualifiée ».</w:t>
      </w:r>
    </w:p>
    <w:p w14:paraId="0F16F640" w14:textId="7B2EE61F" w:rsidR="006F4DF3" w:rsidRPr="008E789E" w:rsidRDefault="006F4DF3" w:rsidP="006F4DF3"/>
    <w:p w14:paraId="6C5E0EFE" w14:textId="4491D578" w:rsidR="00011767" w:rsidRDefault="00B60472" w:rsidP="00B60472">
      <w:pPr>
        <w:pStyle w:val="Titre1"/>
        <w:numPr>
          <w:ilvl w:val="0"/>
          <w:numId w:val="0"/>
        </w:numPr>
        <w:ind w:left="284"/>
        <w:rPr>
          <w:sz w:val="40"/>
        </w:rPr>
      </w:pPr>
      <w:bookmarkStart w:id="1" w:name="_Toc120173400"/>
      <w:r w:rsidRPr="007C7E98">
        <w:rPr>
          <w:sz w:val="40"/>
        </w:rPr>
        <w:lastRenderedPageBreak/>
        <w:t xml:space="preserve">2. </w:t>
      </w:r>
      <w:r w:rsidR="00770116">
        <w:rPr>
          <w:sz w:val="40"/>
        </w:rPr>
        <w:t xml:space="preserve"> </w:t>
      </w:r>
      <w:r w:rsidR="00011767">
        <w:rPr>
          <w:sz w:val="40"/>
        </w:rPr>
        <w:t>Modalités de calcul dans les établissements de santé</w:t>
      </w:r>
      <w:bookmarkEnd w:id="1"/>
    </w:p>
    <w:p w14:paraId="3E5FC9B7" w14:textId="2D4FE056" w:rsidR="004E7AF4" w:rsidRPr="00646BFE" w:rsidRDefault="00770116" w:rsidP="00646BFE">
      <w:pPr>
        <w:pStyle w:val="Titre1"/>
        <w:numPr>
          <w:ilvl w:val="0"/>
          <w:numId w:val="0"/>
        </w:numPr>
        <w:ind w:left="284" w:right="-432"/>
        <w:rPr>
          <w:sz w:val="32"/>
          <w:szCs w:val="22"/>
        </w:rPr>
      </w:pPr>
      <w:bookmarkStart w:id="2" w:name="_Toc120173401"/>
      <w:r w:rsidRPr="00646BFE">
        <w:rPr>
          <w:sz w:val="32"/>
          <w:szCs w:val="22"/>
        </w:rPr>
        <w:t>Phase 1 : l</w:t>
      </w:r>
      <w:r w:rsidR="008E789E" w:rsidRPr="00646BFE">
        <w:rPr>
          <w:sz w:val="32"/>
          <w:szCs w:val="22"/>
        </w:rPr>
        <w:t>es critères et données issues du logiciel de gestion administrative du patient (GAP)</w:t>
      </w:r>
      <w:bookmarkEnd w:id="2"/>
    </w:p>
    <w:p w14:paraId="73050115" w14:textId="5BF987FF" w:rsidR="008E789E" w:rsidRDefault="008E789E" w:rsidP="000D6C32">
      <w:pPr>
        <w:pStyle w:val="xmsonormal"/>
        <w:jc w:val="both"/>
        <w:rPr>
          <w:rFonts w:ascii="Arial" w:hAnsi="Arial" w:cs="Arial"/>
        </w:rPr>
      </w:pPr>
      <w:r>
        <w:rPr>
          <w:rFonts w:ascii="Arial" w:hAnsi="Arial" w:cs="Arial"/>
        </w:rPr>
        <w:t xml:space="preserve">Les modalités de calcul pour les GAP sont les suivantes : </w:t>
      </w:r>
    </w:p>
    <w:p w14:paraId="5CEAAADD" w14:textId="77777777" w:rsidR="008E789E" w:rsidRDefault="008E789E" w:rsidP="000D6C32">
      <w:pPr>
        <w:pStyle w:val="xmsonormal"/>
        <w:jc w:val="both"/>
        <w:rPr>
          <w:rFonts w:ascii="Arial" w:hAnsi="Arial" w:cs="Arial"/>
        </w:rPr>
      </w:pPr>
    </w:p>
    <w:p w14:paraId="48D6BDD8" w14:textId="25D4E294" w:rsidR="008E789E" w:rsidRPr="008E789E" w:rsidRDefault="008E789E" w:rsidP="000D6C32">
      <w:pPr>
        <w:pStyle w:val="xmsonormal"/>
        <w:jc w:val="both"/>
        <w:rPr>
          <w:rFonts w:ascii="Arial" w:hAnsi="Arial" w:cs="Arial"/>
        </w:rPr>
      </w:pPr>
      <w:r w:rsidRPr="008E789E">
        <w:rPr>
          <w:rFonts w:ascii="Arial" w:hAnsi="Arial" w:cs="Arial"/>
        </w:rPr>
        <w:t>Date prise en compte pour l’inclusion des venues :</w:t>
      </w:r>
    </w:p>
    <w:p w14:paraId="1CEA05F5" w14:textId="77777777" w:rsidR="008011A6" w:rsidRDefault="008E789E" w:rsidP="000D6C32">
      <w:pPr>
        <w:pStyle w:val="xmsonormal"/>
        <w:numPr>
          <w:ilvl w:val="0"/>
          <w:numId w:val="40"/>
        </w:numPr>
        <w:jc w:val="both"/>
        <w:rPr>
          <w:rFonts w:ascii="Arial" w:hAnsi="Arial" w:cs="Arial"/>
        </w:rPr>
      </w:pPr>
      <w:proofErr w:type="gramStart"/>
      <w:r>
        <w:rPr>
          <w:rFonts w:ascii="Arial" w:hAnsi="Arial" w:cs="Arial"/>
        </w:rPr>
        <w:t>p</w:t>
      </w:r>
      <w:r w:rsidRPr="008E789E">
        <w:rPr>
          <w:rFonts w:ascii="Arial" w:hAnsi="Arial" w:cs="Arial"/>
        </w:rPr>
        <w:t>our</w:t>
      </w:r>
      <w:proofErr w:type="gramEnd"/>
      <w:r w:rsidRPr="008E789E">
        <w:rPr>
          <w:rFonts w:ascii="Arial" w:hAnsi="Arial" w:cs="Arial"/>
        </w:rPr>
        <w:t xml:space="preserve"> les ACE : date de la prise en charge</w:t>
      </w:r>
      <w:r>
        <w:rPr>
          <w:rFonts w:ascii="Arial" w:hAnsi="Arial" w:cs="Arial"/>
        </w:rPr>
        <w:t> ;</w:t>
      </w:r>
    </w:p>
    <w:p w14:paraId="46F08799" w14:textId="6129D555" w:rsidR="008E789E" w:rsidRPr="008011A6" w:rsidRDefault="008E789E" w:rsidP="000D6C32">
      <w:pPr>
        <w:pStyle w:val="xmsonormal"/>
        <w:numPr>
          <w:ilvl w:val="0"/>
          <w:numId w:val="40"/>
        </w:numPr>
        <w:jc w:val="both"/>
        <w:rPr>
          <w:rFonts w:ascii="Arial" w:hAnsi="Arial" w:cs="Arial"/>
        </w:rPr>
      </w:pPr>
      <w:proofErr w:type="gramStart"/>
      <w:r w:rsidRPr="008011A6">
        <w:rPr>
          <w:rFonts w:ascii="Arial" w:hAnsi="Arial" w:cs="Arial"/>
        </w:rPr>
        <w:t>pour</w:t>
      </w:r>
      <w:proofErr w:type="gramEnd"/>
      <w:r w:rsidRPr="008011A6">
        <w:rPr>
          <w:rFonts w:ascii="Arial" w:hAnsi="Arial" w:cs="Arial"/>
        </w:rPr>
        <w:t xml:space="preserve"> les séjours et les urgences : date d’entrée / de début de prise en charge.</w:t>
      </w:r>
    </w:p>
    <w:p w14:paraId="56379283" w14:textId="77777777" w:rsidR="008011A6" w:rsidRDefault="008E789E" w:rsidP="000D6C32">
      <w:pPr>
        <w:pStyle w:val="xmsonormal"/>
        <w:jc w:val="both"/>
        <w:rPr>
          <w:rFonts w:ascii="Arial" w:hAnsi="Arial" w:cs="Arial"/>
        </w:rPr>
      </w:pPr>
      <w:r w:rsidRPr="008E789E">
        <w:rPr>
          <w:rFonts w:ascii="Arial" w:hAnsi="Arial" w:cs="Arial"/>
        </w:rPr>
        <w:t>Période d’inclusion</w:t>
      </w:r>
    </w:p>
    <w:p w14:paraId="3B997DD5" w14:textId="77777777" w:rsidR="008011A6" w:rsidRDefault="008E789E" w:rsidP="000D6C32">
      <w:pPr>
        <w:pStyle w:val="xmsonormal"/>
        <w:numPr>
          <w:ilvl w:val="0"/>
          <w:numId w:val="40"/>
        </w:numPr>
        <w:jc w:val="both"/>
        <w:rPr>
          <w:rFonts w:ascii="Arial" w:hAnsi="Arial" w:cs="Arial"/>
        </w:rPr>
      </w:pPr>
      <w:r w:rsidRPr="008E789E">
        <w:rPr>
          <w:rFonts w:ascii="Arial" w:hAnsi="Arial" w:cs="Arial"/>
        </w:rPr>
        <w:t>Entre une date de début et une date de fin</w:t>
      </w:r>
      <w:r>
        <w:rPr>
          <w:rFonts w:ascii="Arial" w:hAnsi="Arial" w:cs="Arial"/>
        </w:rPr>
        <w:t> ;</w:t>
      </w:r>
    </w:p>
    <w:p w14:paraId="6F1432CB" w14:textId="4330A0E6" w:rsidR="008E789E" w:rsidRPr="008011A6" w:rsidRDefault="008E789E" w:rsidP="000D6C32">
      <w:pPr>
        <w:pStyle w:val="xmsonormal"/>
        <w:numPr>
          <w:ilvl w:val="0"/>
          <w:numId w:val="40"/>
        </w:numPr>
        <w:jc w:val="both"/>
        <w:rPr>
          <w:rFonts w:ascii="Arial" w:hAnsi="Arial" w:cs="Arial"/>
        </w:rPr>
      </w:pPr>
      <w:r w:rsidRPr="008011A6">
        <w:rPr>
          <w:rFonts w:ascii="Arial" w:hAnsi="Arial" w:cs="Arial"/>
        </w:rPr>
        <w:t>Bornes comprises.</w:t>
      </w:r>
    </w:p>
    <w:p w14:paraId="74ED8C0E" w14:textId="77777777" w:rsidR="008E789E" w:rsidRPr="008E789E" w:rsidRDefault="008E789E" w:rsidP="000D6C32">
      <w:pPr>
        <w:pStyle w:val="xmsonormal"/>
        <w:jc w:val="both"/>
        <w:rPr>
          <w:rFonts w:ascii="Arial" w:hAnsi="Arial" w:cs="Arial"/>
        </w:rPr>
      </w:pPr>
      <w:r w:rsidRPr="008E789E">
        <w:rPr>
          <w:rFonts w:ascii="Arial" w:hAnsi="Arial" w:cs="Arial"/>
        </w:rPr>
        <w:t>Patients à inclure sur la base des venues</w:t>
      </w:r>
    </w:p>
    <w:p w14:paraId="57C3AF46" w14:textId="77777777" w:rsidR="008011A6" w:rsidRDefault="008E789E" w:rsidP="000D6C32">
      <w:pPr>
        <w:pStyle w:val="xmsonormal"/>
        <w:numPr>
          <w:ilvl w:val="0"/>
          <w:numId w:val="40"/>
        </w:numPr>
        <w:jc w:val="both"/>
        <w:rPr>
          <w:rFonts w:ascii="Arial" w:hAnsi="Arial" w:cs="Arial"/>
        </w:rPr>
      </w:pPr>
      <w:r w:rsidRPr="008E789E">
        <w:rPr>
          <w:rFonts w:ascii="Arial" w:hAnsi="Arial" w:cs="Arial"/>
        </w:rPr>
        <w:t>Assurés sociaux en France quel que soit le régime</w:t>
      </w:r>
      <w:r>
        <w:rPr>
          <w:rFonts w:ascii="Arial" w:hAnsi="Arial" w:cs="Arial"/>
        </w:rPr>
        <w:t> ;</w:t>
      </w:r>
    </w:p>
    <w:p w14:paraId="4F14F60B" w14:textId="0392796A" w:rsidR="008E789E" w:rsidRDefault="008E789E" w:rsidP="000D6C32">
      <w:pPr>
        <w:pStyle w:val="xmsonormal"/>
        <w:numPr>
          <w:ilvl w:val="0"/>
          <w:numId w:val="40"/>
        </w:numPr>
        <w:jc w:val="both"/>
        <w:rPr>
          <w:rFonts w:ascii="Arial" w:hAnsi="Arial" w:cs="Arial"/>
        </w:rPr>
      </w:pPr>
      <w:r w:rsidRPr="008011A6">
        <w:rPr>
          <w:rFonts w:ascii="Arial" w:hAnsi="Arial" w:cs="Arial"/>
        </w:rPr>
        <w:t xml:space="preserve">Sont donc exclus tous les autres patients, convention Internationale ou non, du </w:t>
      </w:r>
      <w:r w:rsidRPr="00B44E58">
        <w:rPr>
          <w:rFonts w:ascii="Arial" w:hAnsi="Arial" w:cs="Arial"/>
        </w:rPr>
        <w:t>fait de l’impossibilité de les référencer par l’INS.</w:t>
      </w:r>
    </w:p>
    <w:p w14:paraId="25489A7F" w14:textId="77777777" w:rsidR="00B44E58" w:rsidRPr="00B44E58" w:rsidRDefault="00B44E58" w:rsidP="00B44E58">
      <w:pPr>
        <w:pStyle w:val="xmsonormal"/>
        <w:ind w:left="720"/>
        <w:jc w:val="both"/>
        <w:rPr>
          <w:rFonts w:ascii="Arial" w:hAnsi="Arial" w:cs="Arial"/>
        </w:rPr>
      </w:pPr>
    </w:p>
    <w:p w14:paraId="0D84FEF5" w14:textId="7A29B72A" w:rsidR="00183109" w:rsidRPr="00B44E58" w:rsidRDefault="000D6C32" w:rsidP="000D6C32">
      <w:pPr>
        <w:pStyle w:val="xmsonormal"/>
        <w:jc w:val="both"/>
        <w:rPr>
          <w:rFonts w:ascii="Arial" w:hAnsi="Arial" w:cs="Arial"/>
        </w:rPr>
      </w:pPr>
      <w:r w:rsidRPr="00630301">
        <w:rPr>
          <w:rFonts w:ascii="Arial" w:hAnsi="Arial" w:cs="Arial"/>
          <w:highlight w:val="yellow"/>
        </w:rPr>
        <w:t>A noter : il est également possible, à l’appréciation de chaque établissement, d’exclure les p</w:t>
      </w:r>
      <w:r w:rsidR="00774596" w:rsidRPr="00630301">
        <w:rPr>
          <w:rFonts w:ascii="Arial" w:hAnsi="Arial" w:cs="Arial"/>
          <w:highlight w:val="yellow"/>
        </w:rPr>
        <w:t>atients pris en charge dans l’UF dédiée à la prise en charge des détenus (</w:t>
      </w:r>
      <w:r w:rsidRPr="00630301">
        <w:rPr>
          <w:rFonts w:ascii="Arial" w:hAnsi="Arial" w:cs="Arial"/>
          <w:highlight w:val="yellow"/>
        </w:rPr>
        <w:t xml:space="preserve">UF </w:t>
      </w:r>
      <w:r w:rsidR="00FF5994" w:rsidRPr="00630301">
        <w:rPr>
          <w:rFonts w:ascii="Arial" w:hAnsi="Arial" w:cs="Arial"/>
          <w:highlight w:val="yellow"/>
        </w:rPr>
        <w:t xml:space="preserve">souvent typée </w:t>
      </w:r>
      <w:r w:rsidR="00774596" w:rsidRPr="00630301">
        <w:rPr>
          <w:rFonts w:ascii="Arial" w:hAnsi="Arial" w:cs="Arial"/>
          <w:highlight w:val="yellow"/>
        </w:rPr>
        <w:t>UCSA</w:t>
      </w:r>
      <w:r w:rsidR="00FF5994" w:rsidRPr="00630301">
        <w:rPr>
          <w:rFonts w:ascii="Arial" w:hAnsi="Arial" w:cs="Arial"/>
          <w:highlight w:val="yellow"/>
        </w:rPr>
        <w:t xml:space="preserve"> – Unité de Consultations et de Soins Ambulatoires</w:t>
      </w:r>
      <w:r w:rsidR="00774596" w:rsidRPr="00630301">
        <w:rPr>
          <w:rFonts w:ascii="Arial" w:hAnsi="Arial" w:cs="Arial"/>
          <w:highlight w:val="yellow"/>
        </w:rPr>
        <w:t>)</w:t>
      </w:r>
      <w:r w:rsidRPr="00630301">
        <w:rPr>
          <w:rFonts w:ascii="Arial" w:hAnsi="Arial" w:cs="Arial"/>
          <w:highlight w:val="yellow"/>
        </w:rPr>
        <w:t>.</w:t>
      </w:r>
    </w:p>
    <w:p w14:paraId="24F295E3" w14:textId="2ACC404E" w:rsidR="00D20F4F" w:rsidRPr="00646BFE" w:rsidRDefault="00770116" w:rsidP="00646BFE">
      <w:pPr>
        <w:pStyle w:val="Titre1"/>
        <w:numPr>
          <w:ilvl w:val="0"/>
          <w:numId w:val="0"/>
        </w:numPr>
        <w:ind w:left="284" w:right="-432"/>
        <w:rPr>
          <w:sz w:val="32"/>
          <w:szCs w:val="22"/>
        </w:rPr>
      </w:pPr>
      <w:bookmarkStart w:id="3" w:name="_Toc120173402"/>
      <w:r w:rsidRPr="00646BFE">
        <w:rPr>
          <w:sz w:val="32"/>
          <w:szCs w:val="22"/>
        </w:rPr>
        <w:t>Phase 2 : l</w:t>
      </w:r>
      <w:r w:rsidR="008E789E" w:rsidRPr="00646BFE">
        <w:rPr>
          <w:sz w:val="32"/>
          <w:szCs w:val="22"/>
        </w:rPr>
        <w:t>es critères et données issues du référentiel d’identité</w:t>
      </w:r>
      <w:bookmarkEnd w:id="3"/>
    </w:p>
    <w:p w14:paraId="2D8AC632" w14:textId="32E5AF5C" w:rsidR="008E789E" w:rsidRDefault="008E789E" w:rsidP="000D6C32">
      <w:r>
        <w:t>Les modalités de calcul pour les logiciels référentiel d’identités sont les suivantes :</w:t>
      </w:r>
    </w:p>
    <w:p w14:paraId="30853151" w14:textId="77777777" w:rsidR="008E789E" w:rsidRPr="008E789E" w:rsidRDefault="008E789E" w:rsidP="000D6C32"/>
    <w:p w14:paraId="0067F621" w14:textId="77777777" w:rsidR="00FE5E24" w:rsidRDefault="008E789E" w:rsidP="00FE5E24">
      <w:pPr>
        <w:pStyle w:val="xmsonormal"/>
        <w:jc w:val="both"/>
        <w:rPr>
          <w:rFonts w:ascii="Arial" w:hAnsi="Arial" w:cs="Arial"/>
        </w:rPr>
      </w:pPr>
      <w:r w:rsidRPr="008E789E">
        <w:rPr>
          <w:rFonts w:ascii="Arial" w:hAnsi="Arial" w:cs="Arial"/>
        </w:rPr>
        <w:t xml:space="preserve">Caractérisation des patients  </w:t>
      </w:r>
    </w:p>
    <w:p w14:paraId="39F969A6" w14:textId="77777777" w:rsidR="00FE5E24" w:rsidRDefault="008E789E" w:rsidP="00FE5E24">
      <w:pPr>
        <w:pStyle w:val="xmsonormal"/>
        <w:numPr>
          <w:ilvl w:val="0"/>
          <w:numId w:val="41"/>
        </w:numPr>
        <w:jc w:val="both"/>
        <w:rPr>
          <w:rFonts w:ascii="Arial" w:hAnsi="Arial" w:cs="Arial"/>
        </w:rPr>
      </w:pPr>
      <w:proofErr w:type="gramStart"/>
      <w:r w:rsidRPr="008E789E">
        <w:rPr>
          <w:rFonts w:ascii="Arial" w:hAnsi="Arial" w:cs="Arial"/>
        </w:rPr>
        <w:t>si</w:t>
      </w:r>
      <w:proofErr w:type="gramEnd"/>
      <w:r w:rsidRPr="008E789E">
        <w:rPr>
          <w:rFonts w:ascii="Arial" w:hAnsi="Arial" w:cs="Arial"/>
        </w:rPr>
        <w:t xml:space="preserve"> les objets « identité » comportent les attributs « identité douteuse » ou « identité fictive » les patients caractérisés avec ces attributs doivent être exclus des comptes</w:t>
      </w:r>
      <w:r>
        <w:rPr>
          <w:rFonts w:ascii="Arial" w:hAnsi="Arial" w:cs="Arial"/>
        </w:rPr>
        <w:t> ;</w:t>
      </w:r>
    </w:p>
    <w:p w14:paraId="797257E5" w14:textId="1BB2EB4B" w:rsidR="008E789E" w:rsidRPr="00FE5E24" w:rsidRDefault="008E789E" w:rsidP="00FE5E24">
      <w:pPr>
        <w:pStyle w:val="xmsonormal"/>
        <w:numPr>
          <w:ilvl w:val="0"/>
          <w:numId w:val="41"/>
        </w:numPr>
        <w:jc w:val="both"/>
        <w:rPr>
          <w:rFonts w:ascii="Arial" w:hAnsi="Arial" w:cs="Arial"/>
        </w:rPr>
      </w:pPr>
      <w:proofErr w:type="gramStart"/>
      <w:r w:rsidRPr="00FE5E24">
        <w:rPr>
          <w:rFonts w:ascii="Arial" w:hAnsi="Arial" w:cs="Arial"/>
        </w:rPr>
        <w:t>si</w:t>
      </w:r>
      <w:proofErr w:type="gramEnd"/>
      <w:r w:rsidRPr="00FE5E24">
        <w:rPr>
          <w:rFonts w:ascii="Arial" w:hAnsi="Arial" w:cs="Arial"/>
        </w:rPr>
        <w:t xml:space="preserve"> l’absence de statut est possible les patients sans statut doivent être considérés comme ayant une identité provisoire.</w:t>
      </w:r>
    </w:p>
    <w:p w14:paraId="07B3A5AC" w14:textId="77777777" w:rsidR="00FE5E24" w:rsidRPr="008E789E" w:rsidRDefault="00FE5E24" w:rsidP="000D6C32">
      <w:pPr>
        <w:pStyle w:val="xmsonormal"/>
        <w:ind w:left="1440" w:hanging="360"/>
        <w:jc w:val="both"/>
        <w:rPr>
          <w:rFonts w:ascii="Arial" w:hAnsi="Arial" w:cs="Arial"/>
        </w:rPr>
      </w:pPr>
    </w:p>
    <w:p w14:paraId="3A90469D" w14:textId="77777777" w:rsidR="00FE5E24" w:rsidRDefault="008E789E" w:rsidP="00FE5E24">
      <w:pPr>
        <w:pStyle w:val="xmsonormal"/>
        <w:jc w:val="both"/>
        <w:rPr>
          <w:rFonts w:ascii="Arial" w:hAnsi="Arial" w:cs="Arial"/>
        </w:rPr>
      </w:pPr>
      <w:r w:rsidRPr="008E789E">
        <w:rPr>
          <w:rFonts w:ascii="Arial" w:hAnsi="Arial" w:cs="Arial"/>
        </w:rPr>
        <w:lastRenderedPageBreak/>
        <w:t>Production des indicateurs</w:t>
      </w:r>
    </w:p>
    <w:p w14:paraId="3BAEF07A" w14:textId="5155FB01" w:rsidR="00FE5E24" w:rsidRDefault="008E789E" w:rsidP="00FE5E24">
      <w:pPr>
        <w:pStyle w:val="xmsonormal"/>
        <w:numPr>
          <w:ilvl w:val="0"/>
          <w:numId w:val="42"/>
        </w:numPr>
        <w:jc w:val="both"/>
        <w:rPr>
          <w:rFonts w:ascii="Arial" w:hAnsi="Arial" w:cs="Arial"/>
        </w:rPr>
      </w:pPr>
      <w:proofErr w:type="gramStart"/>
      <w:r w:rsidRPr="008E789E">
        <w:rPr>
          <w:rFonts w:ascii="Arial" w:hAnsi="Arial" w:cs="Arial"/>
        </w:rPr>
        <w:t>compte</w:t>
      </w:r>
      <w:proofErr w:type="gramEnd"/>
      <w:r w:rsidRPr="008E789E">
        <w:rPr>
          <w:rFonts w:ascii="Arial" w:hAnsi="Arial" w:cs="Arial"/>
        </w:rPr>
        <w:t xml:space="preserve"> du nombre de patients différen</w:t>
      </w:r>
      <w:r>
        <w:rPr>
          <w:rFonts w:ascii="Arial" w:hAnsi="Arial" w:cs="Arial"/>
        </w:rPr>
        <w:t>ts (et non du nombre de venues) ;</w:t>
      </w:r>
    </w:p>
    <w:p w14:paraId="70F316D6" w14:textId="4EBAA508" w:rsidR="00011767" w:rsidRPr="00646BFE" w:rsidRDefault="008E789E" w:rsidP="0003638C">
      <w:pPr>
        <w:pStyle w:val="xmsonormal"/>
        <w:numPr>
          <w:ilvl w:val="0"/>
          <w:numId w:val="42"/>
        </w:numPr>
        <w:jc w:val="both"/>
        <w:rPr>
          <w:rFonts w:ascii="Arial" w:hAnsi="Arial" w:cs="Arial"/>
        </w:rPr>
      </w:pPr>
      <w:r w:rsidRPr="00FE5E24">
        <w:rPr>
          <w:rFonts w:ascii="Arial" w:hAnsi="Arial" w:cs="Arial"/>
        </w:rPr>
        <w:t>… Pour chacun des 4 statuts : provisoire – récupérée – validée – qualifiée.</w:t>
      </w:r>
    </w:p>
    <w:p w14:paraId="3BC601F0" w14:textId="12D7F76D" w:rsidR="00011767" w:rsidRPr="00646BFE" w:rsidRDefault="00646BFE" w:rsidP="00646BFE">
      <w:pPr>
        <w:pStyle w:val="Titre1"/>
        <w:numPr>
          <w:ilvl w:val="0"/>
          <w:numId w:val="0"/>
        </w:numPr>
        <w:ind w:left="284"/>
        <w:rPr>
          <w:sz w:val="40"/>
          <w:highlight w:val="yellow"/>
        </w:rPr>
      </w:pPr>
      <w:bookmarkStart w:id="4" w:name="_Toc120173403"/>
      <w:r w:rsidRPr="00646BFE">
        <w:rPr>
          <w:sz w:val="40"/>
          <w:highlight w:val="yellow"/>
        </w:rPr>
        <w:t>3</w:t>
      </w:r>
      <w:r w:rsidR="00011767" w:rsidRPr="00646BFE">
        <w:rPr>
          <w:sz w:val="40"/>
          <w:highlight w:val="yellow"/>
        </w:rPr>
        <w:t>.  Modalités de calcul dans les établissements et services sociaux et médico-sociaux</w:t>
      </w:r>
      <w:bookmarkEnd w:id="4"/>
      <w:r w:rsidR="00011767" w:rsidRPr="00646BFE">
        <w:rPr>
          <w:sz w:val="40"/>
          <w:highlight w:val="yellow"/>
        </w:rPr>
        <w:t xml:space="preserve"> </w:t>
      </w:r>
    </w:p>
    <w:p w14:paraId="78988ACA" w14:textId="7860A18C" w:rsidR="00011767" w:rsidRDefault="00011767" w:rsidP="00011767">
      <w:pPr>
        <w:rPr>
          <w:highlight w:val="yellow"/>
        </w:rPr>
      </w:pPr>
      <w:r w:rsidRPr="00646BFE">
        <w:rPr>
          <w:highlight w:val="yellow"/>
        </w:rPr>
        <w:t>Les modalités de calcul pour les dossiers usagers informatisés (DUI) sont les suivantes :</w:t>
      </w:r>
    </w:p>
    <w:p w14:paraId="2E2268A1" w14:textId="7914AA32" w:rsidR="00CE2BD2" w:rsidRPr="00DB0CDA" w:rsidRDefault="00CE2BD2" w:rsidP="00011767">
      <w:pPr>
        <w:rPr>
          <w:highlight w:val="yellow"/>
        </w:rPr>
      </w:pPr>
    </w:p>
    <w:p w14:paraId="28D24BD5" w14:textId="4FDC8307" w:rsidR="00CE2BD2" w:rsidRPr="00DB0CDA" w:rsidRDefault="00CE2BD2" w:rsidP="00011767">
      <w:pPr>
        <w:rPr>
          <w:highlight w:val="yellow"/>
          <w:u w:val="single"/>
        </w:rPr>
      </w:pPr>
      <w:r w:rsidRPr="00DB0CDA">
        <w:rPr>
          <w:highlight w:val="yellow"/>
          <w:u w:val="single"/>
        </w:rPr>
        <w:t>Cas général</w:t>
      </w:r>
      <w:r w:rsidR="00166E46" w:rsidRPr="00DB0CDA">
        <w:rPr>
          <w:rStyle w:val="Appelnotedebasdep"/>
          <w:highlight w:val="yellow"/>
          <w:u w:val="single"/>
        </w:rPr>
        <w:footnoteReference w:id="1"/>
      </w:r>
      <w:r w:rsidRPr="00DB0CDA">
        <w:rPr>
          <w:highlight w:val="yellow"/>
          <w:u w:val="single"/>
        </w:rPr>
        <w:t xml:space="preserve"> : </w:t>
      </w:r>
    </w:p>
    <w:p w14:paraId="05F73AD4" w14:textId="77777777" w:rsidR="00011767" w:rsidRPr="00646BFE" w:rsidRDefault="00011767" w:rsidP="00011767">
      <w:pPr>
        <w:pStyle w:val="xmsonormal"/>
        <w:jc w:val="both"/>
        <w:rPr>
          <w:rFonts w:ascii="Arial" w:hAnsi="Arial" w:cs="Arial"/>
          <w:highlight w:val="yellow"/>
        </w:rPr>
      </w:pPr>
    </w:p>
    <w:p w14:paraId="11C6C219" w14:textId="77777777" w:rsidR="00921EE1" w:rsidRPr="00646BFE" w:rsidRDefault="00011767" w:rsidP="00921EE1">
      <w:pPr>
        <w:pStyle w:val="xmsonormal"/>
        <w:jc w:val="both"/>
        <w:rPr>
          <w:rFonts w:ascii="Arial" w:hAnsi="Arial" w:cs="Arial"/>
          <w:highlight w:val="yellow"/>
        </w:rPr>
      </w:pPr>
      <w:r w:rsidRPr="00646BFE">
        <w:rPr>
          <w:rFonts w:ascii="Arial" w:hAnsi="Arial" w:cs="Arial"/>
          <w:highlight w:val="yellow"/>
        </w:rPr>
        <w:t xml:space="preserve">Usagers à inclure sur la base des venues : </w:t>
      </w:r>
    </w:p>
    <w:p w14:paraId="5C291F55" w14:textId="77777777" w:rsidR="00921EE1" w:rsidRPr="00646BFE" w:rsidRDefault="00921EE1" w:rsidP="00921EE1">
      <w:pPr>
        <w:pStyle w:val="xmsonormal"/>
        <w:jc w:val="both"/>
        <w:rPr>
          <w:rFonts w:ascii="Arial" w:hAnsi="Arial" w:cs="Arial"/>
          <w:highlight w:val="yellow"/>
        </w:rPr>
      </w:pPr>
      <w:r w:rsidRPr="00646BFE">
        <w:rPr>
          <w:rFonts w:ascii="Arial" w:hAnsi="Arial" w:cs="Arial"/>
          <w:highlight w:val="yellow"/>
        </w:rPr>
        <w:t>E</w:t>
      </w:r>
      <w:r w:rsidR="00011767" w:rsidRPr="00646BFE">
        <w:rPr>
          <w:rFonts w:ascii="Arial" w:hAnsi="Arial" w:cs="Arial"/>
          <w:highlight w:val="yellow"/>
        </w:rPr>
        <w:t>nsemble des usagers</w:t>
      </w:r>
      <w:r w:rsidRPr="00646BFE">
        <w:rPr>
          <w:rFonts w:ascii="Arial" w:hAnsi="Arial" w:cs="Arial"/>
          <w:highlight w:val="yellow"/>
        </w:rPr>
        <w:t xml:space="preserve">, </w:t>
      </w:r>
    </w:p>
    <w:p w14:paraId="11152D83" w14:textId="38643CCC" w:rsidR="00921EE1" w:rsidRPr="00646BFE" w:rsidRDefault="00921EE1" w:rsidP="00921EE1">
      <w:pPr>
        <w:pStyle w:val="xmsonormal"/>
        <w:numPr>
          <w:ilvl w:val="0"/>
          <w:numId w:val="41"/>
        </w:numPr>
        <w:jc w:val="both"/>
        <w:rPr>
          <w:rFonts w:ascii="Arial" w:hAnsi="Arial" w:cs="Arial"/>
          <w:highlight w:val="yellow"/>
        </w:rPr>
      </w:pPr>
      <w:proofErr w:type="gramStart"/>
      <w:r w:rsidRPr="00646BFE">
        <w:rPr>
          <w:rFonts w:ascii="Arial" w:hAnsi="Arial" w:cs="Arial"/>
          <w:highlight w:val="yellow"/>
        </w:rPr>
        <w:t>ayant</w:t>
      </w:r>
      <w:proofErr w:type="gramEnd"/>
      <w:r w:rsidRPr="00646BFE">
        <w:rPr>
          <w:rFonts w:ascii="Arial" w:hAnsi="Arial" w:cs="Arial"/>
          <w:highlight w:val="yellow"/>
        </w:rPr>
        <w:t xml:space="preserve"> une prise en charge </w:t>
      </w:r>
      <w:r w:rsidR="00630301">
        <w:rPr>
          <w:rFonts w:ascii="Arial" w:hAnsi="Arial" w:cs="Arial"/>
          <w:highlight w:val="yellow"/>
        </w:rPr>
        <w:t>activ</w:t>
      </w:r>
      <w:r w:rsidR="00166E46">
        <w:rPr>
          <w:rFonts w:ascii="Arial" w:hAnsi="Arial" w:cs="Arial"/>
          <w:highlight w:val="yellow"/>
        </w:rPr>
        <w:t>e</w:t>
      </w:r>
      <w:r w:rsidR="00166E46">
        <w:rPr>
          <w:rStyle w:val="Appelnotedebasdep"/>
          <w:rFonts w:ascii="Arial" w:hAnsi="Arial" w:cs="Arial"/>
          <w:highlight w:val="yellow"/>
        </w:rPr>
        <w:footnoteReference w:id="2"/>
      </w:r>
      <w:r w:rsidRPr="00646BFE">
        <w:rPr>
          <w:rFonts w:ascii="Arial" w:hAnsi="Arial" w:cs="Arial"/>
          <w:highlight w:val="yellow"/>
        </w:rPr>
        <w:t xml:space="preserve"> à la date de calcul de l’indicateur (les usagers qui ne sont plus pris en charge à la date de calcul de l’indicateur – usagers décédés, usagers ayant quitté la structure etc. – doivent être exclus des comptes) ; </w:t>
      </w:r>
    </w:p>
    <w:p w14:paraId="6F1155F2" w14:textId="31EEBB89" w:rsidR="00011767" w:rsidRPr="00646BFE" w:rsidRDefault="00921EE1" w:rsidP="00921EE1">
      <w:pPr>
        <w:pStyle w:val="xmsonormal"/>
        <w:numPr>
          <w:ilvl w:val="0"/>
          <w:numId w:val="41"/>
        </w:numPr>
        <w:jc w:val="both"/>
        <w:rPr>
          <w:rFonts w:ascii="Arial" w:hAnsi="Arial" w:cs="Arial"/>
          <w:highlight w:val="yellow"/>
        </w:rPr>
      </w:pPr>
      <w:proofErr w:type="gramStart"/>
      <w:r w:rsidRPr="00646BFE">
        <w:rPr>
          <w:rFonts w:ascii="Arial" w:hAnsi="Arial" w:cs="Arial"/>
          <w:highlight w:val="yellow"/>
        </w:rPr>
        <w:t>en</w:t>
      </w:r>
      <w:proofErr w:type="gramEnd"/>
      <w:r w:rsidR="00A35154">
        <w:rPr>
          <w:rFonts w:ascii="Arial" w:hAnsi="Arial" w:cs="Arial"/>
          <w:highlight w:val="yellow"/>
        </w:rPr>
        <w:t xml:space="preserve"> </w:t>
      </w:r>
      <w:r w:rsidRPr="00646BFE">
        <w:rPr>
          <w:rFonts w:ascii="Arial" w:hAnsi="Arial" w:cs="Arial"/>
          <w:highlight w:val="yellow"/>
        </w:rPr>
        <w:t xml:space="preserve">excluant les usagers dont l’objet « identité » comporte </w:t>
      </w:r>
      <w:r w:rsidR="00011767" w:rsidRPr="00646BFE">
        <w:rPr>
          <w:rFonts w:ascii="Arial" w:hAnsi="Arial" w:cs="Arial"/>
          <w:highlight w:val="yellow"/>
        </w:rPr>
        <w:t xml:space="preserve">les attributs « identité douteuse » ou « identité fictive » </w:t>
      </w:r>
      <w:r w:rsidRPr="00646BFE">
        <w:rPr>
          <w:rFonts w:ascii="Arial" w:hAnsi="Arial" w:cs="Arial"/>
          <w:highlight w:val="yellow"/>
        </w:rPr>
        <w:t>(</w:t>
      </w:r>
      <w:r w:rsidR="00011767" w:rsidRPr="00646BFE">
        <w:rPr>
          <w:rFonts w:ascii="Arial" w:hAnsi="Arial" w:cs="Arial"/>
          <w:highlight w:val="yellow"/>
        </w:rPr>
        <w:t xml:space="preserve">les </w:t>
      </w:r>
      <w:r w:rsidRPr="00646BFE">
        <w:rPr>
          <w:rFonts w:ascii="Arial" w:hAnsi="Arial" w:cs="Arial"/>
          <w:highlight w:val="yellow"/>
        </w:rPr>
        <w:t>usagers</w:t>
      </w:r>
      <w:r w:rsidR="00011767" w:rsidRPr="00646BFE">
        <w:rPr>
          <w:rFonts w:ascii="Arial" w:hAnsi="Arial" w:cs="Arial"/>
          <w:highlight w:val="yellow"/>
        </w:rPr>
        <w:t xml:space="preserve"> caractérisés avec ces attributs doivent être exclus des comptes</w:t>
      </w:r>
      <w:r w:rsidRPr="00646BFE">
        <w:rPr>
          <w:rFonts w:ascii="Arial" w:hAnsi="Arial" w:cs="Arial"/>
          <w:highlight w:val="yellow"/>
        </w:rPr>
        <w:t>)</w:t>
      </w:r>
      <w:r w:rsidR="00630301">
        <w:rPr>
          <w:rFonts w:ascii="Arial" w:hAnsi="Arial" w:cs="Arial"/>
          <w:highlight w:val="yellow"/>
        </w:rPr>
        <w:t>,</w:t>
      </w:r>
      <w:r w:rsidR="00011767" w:rsidRPr="00646BFE">
        <w:rPr>
          <w:rFonts w:ascii="Arial" w:hAnsi="Arial" w:cs="Arial"/>
          <w:highlight w:val="yellow"/>
        </w:rPr>
        <w:t> </w:t>
      </w:r>
      <w:r w:rsidRPr="00646BFE">
        <w:rPr>
          <w:rFonts w:ascii="Arial" w:hAnsi="Arial" w:cs="Arial"/>
          <w:highlight w:val="yellow"/>
        </w:rPr>
        <w:t>si ces attributs sont gérés.</w:t>
      </w:r>
    </w:p>
    <w:p w14:paraId="6E5A4A16" w14:textId="4BF19E7C" w:rsidR="00011767" w:rsidRPr="00646BFE" w:rsidRDefault="00011767" w:rsidP="00011767">
      <w:pPr>
        <w:pStyle w:val="xmsonormal"/>
        <w:jc w:val="both"/>
        <w:rPr>
          <w:rFonts w:ascii="Arial" w:hAnsi="Arial" w:cs="Arial"/>
          <w:highlight w:val="yellow"/>
        </w:rPr>
      </w:pPr>
      <w:r w:rsidRPr="00646BFE">
        <w:rPr>
          <w:rFonts w:ascii="Arial" w:hAnsi="Arial" w:cs="Arial"/>
          <w:highlight w:val="yellow"/>
          <w:u w:val="single"/>
        </w:rPr>
        <w:t xml:space="preserve">Option : </w:t>
      </w:r>
      <w:r w:rsidRPr="00646BFE">
        <w:rPr>
          <w:rFonts w:ascii="Arial" w:hAnsi="Arial" w:cs="Arial"/>
          <w:highlight w:val="yellow"/>
        </w:rPr>
        <w:t>pour tenir compte des usagers n’ayant par définition pas d’INS, il est possible, d’inclure uniquement les assurés sociaux en France (et donc d’exclure les patients non assurés sociaux en France), si le DUI est capable d’offrir cette distinction.</w:t>
      </w:r>
    </w:p>
    <w:p w14:paraId="592701BA" w14:textId="77777777" w:rsidR="00630301" w:rsidRDefault="00630301" w:rsidP="00921EE1">
      <w:pPr>
        <w:pStyle w:val="xmsonormal"/>
        <w:jc w:val="both"/>
        <w:rPr>
          <w:rFonts w:ascii="Arial" w:hAnsi="Arial" w:cs="Arial"/>
          <w:highlight w:val="yellow"/>
        </w:rPr>
      </w:pPr>
    </w:p>
    <w:p w14:paraId="07063A96" w14:textId="1ECFA1E2" w:rsidR="00921EE1" w:rsidRPr="00646BFE" w:rsidRDefault="00921EE1" w:rsidP="00921EE1">
      <w:pPr>
        <w:pStyle w:val="xmsonormal"/>
        <w:jc w:val="both"/>
        <w:rPr>
          <w:rFonts w:ascii="Arial" w:hAnsi="Arial" w:cs="Arial"/>
          <w:highlight w:val="yellow"/>
        </w:rPr>
      </w:pPr>
      <w:r w:rsidRPr="00646BFE">
        <w:rPr>
          <w:rFonts w:ascii="Arial" w:hAnsi="Arial" w:cs="Arial"/>
          <w:highlight w:val="yellow"/>
        </w:rPr>
        <w:t>Date prise en compte pour l’inclusion des venues :</w:t>
      </w:r>
      <w:r w:rsidR="00630301">
        <w:rPr>
          <w:rFonts w:ascii="Arial" w:hAnsi="Arial" w:cs="Arial"/>
          <w:highlight w:val="yellow"/>
        </w:rPr>
        <w:t xml:space="preserve"> date (jour) de calcul de l’indicateur</w:t>
      </w:r>
    </w:p>
    <w:p w14:paraId="0F59E72C" w14:textId="77777777" w:rsidR="00921EE1" w:rsidRPr="00646BFE" w:rsidRDefault="00921EE1" w:rsidP="00011767">
      <w:pPr>
        <w:pStyle w:val="xmsonormal"/>
        <w:jc w:val="both"/>
        <w:rPr>
          <w:rFonts w:ascii="Arial" w:hAnsi="Arial" w:cs="Arial"/>
          <w:highlight w:val="yellow"/>
          <w:u w:val="single"/>
        </w:rPr>
      </w:pPr>
    </w:p>
    <w:p w14:paraId="1A950A6C" w14:textId="77777777" w:rsidR="00921EE1" w:rsidRPr="00646BFE" w:rsidRDefault="00921EE1" w:rsidP="00921EE1">
      <w:pPr>
        <w:pStyle w:val="xmsonormal"/>
        <w:jc w:val="both"/>
        <w:rPr>
          <w:rFonts w:ascii="Arial" w:hAnsi="Arial" w:cs="Arial"/>
          <w:highlight w:val="yellow"/>
        </w:rPr>
      </w:pPr>
      <w:r w:rsidRPr="00646BFE">
        <w:rPr>
          <w:rFonts w:ascii="Arial" w:hAnsi="Arial" w:cs="Arial"/>
          <w:highlight w:val="yellow"/>
        </w:rPr>
        <w:t>Production des indicateurs</w:t>
      </w:r>
    </w:p>
    <w:p w14:paraId="62BD9CFC" w14:textId="77777777" w:rsidR="00921EE1" w:rsidRPr="00646BFE" w:rsidRDefault="00921EE1" w:rsidP="00921EE1">
      <w:pPr>
        <w:pStyle w:val="xmsonormal"/>
        <w:numPr>
          <w:ilvl w:val="0"/>
          <w:numId w:val="42"/>
        </w:numPr>
        <w:jc w:val="both"/>
        <w:rPr>
          <w:rFonts w:ascii="Arial" w:hAnsi="Arial" w:cs="Arial"/>
          <w:highlight w:val="yellow"/>
        </w:rPr>
      </w:pPr>
      <w:proofErr w:type="gramStart"/>
      <w:r w:rsidRPr="00646BFE">
        <w:rPr>
          <w:rFonts w:ascii="Arial" w:hAnsi="Arial" w:cs="Arial"/>
          <w:highlight w:val="yellow"/>
        </w:rPr>
        <w:t>compte</w:t>
      </w:r>
      <w:proofErr w:type="gramEnd"/>
      <w:r w:rsidRPr="00646BFE">
        <w:rPr>
          <w:rFonts w:ascii="Arial" w:hAnsi="Arial" w:cs="Arial"/>
          <w:highlight w:val="yellow"/>
        </w:rPr>
        <w:t xml:space="preserve"> du nombre de patients différents (et non du nombre de venues) ;</w:t>
      </w:r>
    </w:p>
    <w:p w14:paraId="6A842258" w14:textId="77777777" w:rsidR="00921EE1" w:rsidRPr="00646BFE" w:rsidRDefault="00921EE1" w:rsidP="00921EE1">
      <w:pPr>
        <w:pStyle w:val="xmsonormal"/>
        <w:numPr>
          <w:ilvl w:val="0"/>
          <w:numId w:val="42"/>
        </w:numPr>
        <w:jc w:val="both"/>
        <w:rPr>
          <w:rFonts w:ascii="Arial" w:hAnsi="Arial" w:cs="Arial"/>
          <w:highlight w:val="yellow"/>
        </w:rPr>
      </w:pPr>
      <w:r w:rsidRPr="00646BFE">
        <w:rPr>
          <w:rFonts w:ascii="Arial" w:hAnsi="Arial" w:cs="Arial"/>
          <w:highlight w:val="yellow"/>
        </w:rPr>
        <w:t>… Pour chacun des 4 statuts : provisoire – récupérée – validée – qualifiée.</w:t>
      </w:r>
    </w:p>
    <w:p w14:paraId="4A08A0F8" w14:textId="01052190" w:rsidR="00166E46" w:rsidRDefault="00166E46">
      <w:pPr>
        <w:spacing w:line="240" w:lineRule="auto"/>
        <w:jc w:val="left"/>
        <w:rPr>
          <w:rFonts w:cs="Arial"/>
          <w:color w:val="auto"/>
          <w:highlight w:val="yellow"/>
        </w:rPr>
      </w:pPr>
      <w:r>
        <w:rPr>
          <w:rFonts w:cs="Arial"/>
          <w:color w:val="auto"/>
          <w:highlight w:val="yellow"/>
        </w:rPr>
        <w:br w:type="page"/>
      </w:r>
    </w:p>
    <w:p w14:paraId="41115C21" w14:textId="15EA4367" w:rsidR="00166E46" w:rsidRPr="00DB0CDA" w:rsidRDefault="00166E46" w:rsidP="00166E46">
      <w:pPr>
        <w:rPr>
          <w:highlight w:val="yellow"/>
          <w:u w:val="single"/>
        </w:rPr>
      </w:pPr>
      <w:r w:rsidRPr="00DB0CDA">
        <w:rPr>
          <w:highlight w:val="yellow"/>
          <w:u w:val="single"/>
        </w:rPr>
        <w:lastRenderedPageBreak/>
        <w:t>Cas des activités de consultations</w:t>
      </w:r>
      <w:r w:rsidRPr="00DB0CDA">
        <w:rPr>
          <w:rStyle w:val="Appelnotedebasdep"/>
          <w:highlight w:val="yellow"/>
          <w:u w:val="single"/>
        </w:rPr>
        <w:footnoteReference w:id="3"/>
      </w:r>
      <w:r w:rsidRPr="00DB0CDA">
        <w:rPr>
          <w:highlight w:val="yellow"/>
          <w:u w:val="single"/>
        </w:rPr>
        <w:t xml:space="preserve"> </w:t>
      </w:r>
    </w:p>
    <w:p w14:paraId="5208235F" w14:textId="77777777" w:rsidR="00166E46" w:rsidRPr="00DB0CDA" w:rsidRDefault="00166E46" w:rsidP="00166E46">
      <w:pPr>
        <w:pStyle w:val="xmsonormal"/>
        <w:jc w:val="both"/>
        <w:rPr>
          <w:rFonts w:ascii="Arial" w:hAnsi="Arial" w:cs="Arial"/>
          <w:highlight w:val="yellow"/>
        </w:rPr>
      </w:pPr>
    </w:p>
    <w:p w14:paraId="1D41D4FF" w14:textId="77777777" w:rsidR="00166E46" w:rsidRPr="00DB0CDA" w:rsidRDefault="00166E46" w:rsidP="00166E46">
      <w:pPr>
        <w:pStyle w:val="xmsonormal"/>
        <w:jc w:val="both"/>
        <w:rPr>
          <w:rFonts w:ascii="Arial" w:hAnsi="Arial" w:cs="Arial"/>
          <w:highlight w:val="yellow"/>
        </w:rPr>
      </w:pPr>
      <w:r w:rsidRPr="00DB0CDA">
        <w:rPr>
          <w:rFonts w:ascii="Arial" w:hAnsi="Arial" w:cs="Arial"/>
          <w:highlight w:val="yellow"/>
        </w:rPr>
        <w:t xml:space="preserve">Usagers à inclure sur la base des venues : </w:t>
      </w:r>
    </w:p>
    <w:p w14:paraId="0194FA2E" w14:textId="77777777" w:rsidR="00166E46" w:rsidRPr="00DB0CDA" w:rsidRDefault="00166E46" w:rsidP="00166E46">
      <w:pPr>
        <w:pStyle w:val="xmsonormal"/>
        <w:jc w:val="both"/>
        <w:rPr>
          <w:rFonts w:ascii="Arial" w:hAnsi="Arial" w:cs="Arial"/>
          <w:highlight w:val="yellow"/>
        </w:rPr>
      </w:pPr>
      <w:r w:rsidRPr="00DB0CDA">
        <w:rPr>
          <w:rFonts w:ascii="Arial" w:hAnsi="Arial" w:cs="Arial"/>
          <w:highlight w:val="yellow"/>
        </w:rPr>
        <w:t xml:space="preserve">Ensemble des usagers, </w:t>
      </w:r>
    </w:p>
    <w:p w14:paraId="4B4E6B63" w14:textId="1C3CA2D2" w:rsidR="00166E46" w:rsidRPr="00DB0CDA" w:rsidRDefault="00166E46" w:rsidP="00166E46">
      <w:pPr>
        <w:pStyle w:val="xmsonormal"/>
        <w:numPr>
          <w:ilvl w:val="0"/>
          <w:numId w:val="41"/>
        </w:numPr>
        <w:jc w:val="both"/>
        <w:rPr>
          <w:rFonts w:ascii="Arial" w:hAnsi="Arial" w:cs="Arial"/>
          <w:highlight w:val="yellow"/>
        </w:rPr>
      </w:pPr>
      <w:proofErr w:type="gramStart"/>
      <w:r w:rsidRPr="00DB0CDA">
        <w:rPr>
          <w:rFonts w:ascii="Arial" w:hAnsi="Arial" w:cs="Arial"/>
          <w:highlight w:val="yellow"/>
        </w:rPr>
        <w:t>ayant</w:t>
      </w:r>
      <w:proofErr w:type="gramEnd"/>
      <w:r w:rsidRPr="00DB0CDA">
        <w:rPr>
          <w:rFonts w:ascii="Arial" w:hAnsi="Arial" w:cs="Arial"/>
          <w:highlight w:val="yellow"/>
        </w:rPr>
        <w:t xml:space="preserve"> </w:t>
      </w:r>
      <w:r w:rsidR="00053949" w:rsidRPr="00DB0CDA">
        <w:rPr>
          <w:rFonts w:ascii="Arial" w:hAnsi="Arial" w:cs="Arial"/>
          <w:highlight w:val="yellow"/>
        </w:rPr>
        <w:t xml:space="preserve">eu </w:t>
      </w:r>
      <w:r w:rsidRPr="00DB0CDA">
        <w:rPr>
          <w:rFonts w:ascii="Arial" w:hAnsi="Arial" w:cs="Arial"/>
          <w:highlight w:val="yellow"/>
        </w:rPr>
        <w:t xml:space="preserve">une prise en charge </w:t>
      </w:r>
      <w:r w:rsidR="00550E60" w:rsidRPr="00DB0CDA">
        <w:rPr>
          <w:rFonts w:ascii="Arial" w:hAnsi="Arial" w:cs="Arial"/>
          <w:highlight w:val="yellow"/>
        </w:rPr>
        <w:t xml:space="preserve">(consultation) </w:t>
      </w:r>
      <w:r w:rsidR="00053949" w:rsidRPr="00DB0CDA">
        <w:rPr>
          <w:rFonts w:ascii="Arial" w:hAnsi="Arial" w:cs="Arial"/>
          <w:highlight w:val="yellow"/>
        </w:rPr>
        <w:t>sur la période</w:t>
      </w:r>
      <w:r w:rsidRPr="00DB0CDA">
        <w:rPr>
          <w:rFonts w:ascii="Arial" w:hAnsi="Arial" w:cs="Arial"/>
          <w:highlight w:val="yellow"/>
        </w:rPr>
        <w:t xml:space="preserve"> de calcul de l’indicateur</w:t>
      </w:r>
      <w:r w:rsidR="00053949" w:rsidRPr="00DB0CDA">
        <w:rPr>
          <w:rFonts w:ascii="Arial" w:hAnsi="Arial" w:cs="Arial"/>
          <w:highlight w:val="yellow"/>
        </w:rPr>
        <w:t> ;</w:t>
      </w:r>
    </w:p>
    <w:p w14:paraId="1A7A830B" w14:textId="6474FEFB" w:rsidR="00166E46" w:rsidRPr="00DB0CDA" w:rsidRDefault="00166E46" w:rsidP="00166E46">
      <w:pPr>
        <w:pStyle w:val="xmsonormal"/>
        <w:numPr>
          <w:ilvl w:val="0"/>
          <w:numId w:val="41"/>
        </w:numPr>
        <w:jc w:val="both"/>
        <w:rPr>
          <w:rFonts w:ascii="Arial" w:hAnsi="Arial" w:cs="Arial"/>
          <w:highlight w:val="yellow"/>
        </w:rPr>
      </w:pPr>
      <w:proofErr w:type="gramStart"/>
      <w:r w:rsidRPr="00DB0CDA">
        <w:rPr>
          <w:rFonts w:ascii="Arial" w:hAnsi="Arial" w:cs="Arial"/>
          <w:highlight w:val="yellow"/>
        </w:rPr>
        <w:t>en</w:t>
      </w:r>
      <w:proofErr w:type="gramEnd"/>
      <w:r w:rsidRPr="00DB0CDA">
        <w:rPr>
          <w:rFonts w:ascii="Arial" w:hAnsi="Arial" w:cs="Arial"/>
          <w:highlight w:val="yellow"/>
        </w:rPr>
        <w:t xml:space="preserve"> excluant les usagers dont l’objet « identité » comporte les attributs « identité douteuse » ou « identité fictive » (les usagers caractérisés avec ces attributs doivent être exclus des comptes), si ces attributs sont gérés.</w:t>
      </w:r>
    </w:p>
    <w:p w14:paraId="69020646" w14:textId="77777777" w:rsidR="00166E46" w:rsidRPr="00DB0CDA" w:rsidRDefault="00166E46" w:rsidP="00166E46">
      <w:pPr>
        <w:pStyle w:val="xmsonormal"/>
        <w:jc w:val="both"/>
        <w:rPr>
          <w:rFonts w:ascii="Arial" w:hAnsi="Arial" w:cs="Arial"/>
          <w:highlight w:val="yellow"/>
        </w:rPr>
      </w:pPr>
      <w:r w:rsidRPr="00DB0CDA">
        <w:rPr>
          <w:rFonts w:ascii="Arial" w:hAnsi="Arial" w:cs="Arial"/>
          <w:highlight w:val="yellow"/>
          <w:u w:val="single"/>
        </w:rPr>
        <w:t xml:space="preserve">Option : </w:t>
      </w:r>
      <w:r w:rsidRPr="00DB0CDA">
        <w:rPr>
          <w:rFonts w:ascii="Arial" w:hAnsi="Arial" w:cs="Arial"/>
          <w:highlight w:val="yellow"/>
        </w:rPr>
        <w:t>pour tenir compte des usagers n’ayant par définition pas d’INS, il est possible, d’inclure uniquement les assurés sociaux en France (et donc d’exclure les patients non assurés sociaux en France), si le DUI est capable d’offrir cette distinction.</w:t>
      </w:r>
    </w:p>
    <w:p w14:paraId="0DB79E00" w14:textId="77777777" w:rsidR="00166E46" w:rsidRPr="00DB0CDA" w:rsidRDefault="00166E46" w:rsidP="00166E46">
      <w:pPr>
        <w:pStyle w:val="xmsonormal"/>
        <w:jc w:val="both"/>
        <w:rPr>
          <w:rFonts w:ascii="Arial" w:hAnsi="Arial" w:cs="Arial"/>
          <w:highlight w:val="yellow"/>
        </w:rPr>
      </w:pPr>
    </w:p>
    <w:p w14:paraId="58350F0F" w14:textId="4997E768" w:rsidR="00166E46" w:rsidRPr="00DB0CDA" w:rsidRDefault="00166E46" w:rsidP="00166E46">
      <w:pPr>
        <w:pStyle w:val="xmsonormal"/>
        <w:jc w:val="both"/>
        <w:rPr>
          <w:rFonts w:ascii="Arial" w:hAnsi="Arial" w:cs="Arial"/>
          <w:highlight w:val="yellow"/>
        </w:rPr>
      </w:pPr>
      <w:r w:rsidRPr="00DB0CDA">
        <w:rPr>
          <w:rFonts w:ascii="Arial" w:hAnsi="Arial" w:cs="Arial"/>
          <w:highlight w:val="yellow"/>
        </w:rPr>
        <w:t>Date prise en compte pour l’inclusion des venues : date (jour) de la prise en charge</w:t>
      </w:r>
      <w:r w:rsidR="00550E60" w:rsidRPr="00DB0CDA">
        <w:rPr>
          <w:rFonts w:ascii="Arial" w:hAnsi="Arial" w:cs="Arial"/>
          <w:highlight w:val="yellow"/>
        </w:rPr>
        <w:t xml:space="preserve"> (consultation)</w:t>
      </w:r>
    </w:p>
    <w:p w14:paraId="67E1F14D" w14:textId="77777777" w:rsidR="00166E46" w:rsidRPr="00DB0CDA" w:rsidRDefault="00166E46" w:rsidP="00166E46">
      <w:pPr>
        <w:pStyle w:val="xmsonormal"/>
        <w:jc w:val="both"/>
        <w:rPr>
          <w:rFonts w:ascii="Arial" w:hAnsi="Arial" w:cs="Arial"/>
          <w:highlight w:val="yellow"/>
        </w:rPr>
      </w:pPr>
      <w:r w:rsidRPr="00DB0CDA">
        <w:rPr>
          <w:rFonts w:ascii="Arial" w:hAnsi="Arial" w:cs="Arial"/>
          <w:highlight w:val="yellow"/>
        </w:rPr>
        <w:t>Période d’inclusion</w:t>
      </w:r>
    </w:p>
    <w:p w14:paraId="61F2F78E" w14:textId="77777777" w:rsidR="00166E46" w:rsidRPr="00DB0CDA" w:rsidRDefault="00166E46" w:rsidP="00166E46">
      <w:pPr>
        <w:pStyle w:val="xmsonormal"/>
        <w:numPr>
          <w:ilvl w:val="0"/>
          <w:numId w:val="40"/>
        </w:numPr>
        <w:jc w:val="both"/>
        <w:rPr>
          <w:rFonts w:ascii="Arial" w:hAnsi="Arial" w:cs="Arial"/>
          <w:highlight w:val="yellow"/>
        </w:rPr>
      </w:pPr>
      <w:r w:rsidRPr="00DB0CDA">
        <w:rPr>
          <w:rFonts w:ascii="Arial" w:hAnsi="Arial" w:cs="Arial"/>
          <w:highlight w:val="yellow"/>
        </w:rPr>
        <w:t>Entre une date de début et une date de fin ;</w:t>
      </w:r>
    </w:p>
    <w:p w14:paraId="61A106A9" w14:textId="053561CE" w:rsidR="00166E46" w:rsidRPr="00DB0CDA" w:rsidRDefault="00166E46" w:rsidP="00166E46">
      <w:pPr>
        <w:pStyle w:val="xmsonormal"/>
        <w:numPr>
          <w:ilvl w:val="0"/>
          <w:numId w:val="40"/>
        </w:numPr>
        <w:jc w:val="both"/>
        <w:rPr>
          <w:rFonts w:ascii="Arial" w:hAnsi="Arial" w:cs="Arial"/>
          <w:highlight w:val="yellow"/>
        </w:rPr>
      </w:pPr>
      <w:r w:rsidRPr="00DB0CDA">
        <w:rPr>
          <w:rFonts w:ascii="Arial" w:hAnsi="Arial" w:cs="Arial"/>
          <w:highlight w:val="yellow"/>
        </w:rPr>
        <w:t>Bornes comprises.</w:t>
      </w:r>
    </w:p>
    <w:p w14:paraId="068FA0F9" w14:textId="77777777" w:rsidR="00166E46" w:rsidRPr="00DB0CDA" w:rsidRDefault="00166E46" w:rsidP="00166E46">
      <w:pPr>
        <w:pStyle w:val="xmsonormal"/>
        <w:jc w:val="both"/>
        <w:rPr>
          <w:rFonts w:ascii="Arial" w:hAnsi="Arial" w:cs="Arial"/>
          <w:highlight w:val="yellow"/>
          <w:u w:val="single"/>
        </w:rPr>
      </w:pPr>
    </w:p>
    <w:p w14:paraId="4F1F20DC" w14:textId="77777777" w:rsidR="00166E46" w:rsidRPr="00DB0CDA" w:rsidRDefault="00166E46" w:rsidP="00166E46">
      <w:pPr>
        <w:pStyle w:val="xmsonormal"/>
        <w:jc w:val="both"/>
        <w:rPr>
          <w:rFonts w:ascii="Arial" w:hAnsi="Arial" w:cs="Arial"/>
          <w:highlight w:val="yellow"/>
        </w:rPr>
      </w:pPr>
      <w:r w:rsidRPr="00DB0CDA">
        <w:rPr>
          <w:rFonts w:ascii="Arial" w:hAnsi="Arial" w:cs="Arial"/>
          <w:highlight w:val="yellow"/>
        </w:rPr>
        <w:t>Production des indicateurs</w:t>
      </w:r>
    </w:p>
    <w:p w14:paraId="783C7ECC" w14:textId="77777777" w:rsidR="00166E46" w:rsidRPr="00DB0CDA" w:rsidRDefault="00166E46" w:rsidP="00166E46">
      <w:pPr>
        <w:pStyle w:val="xmsonormal"/>
        <w:numPr>
          <w:ilvl w:val="0"/>
          <w:numId w:val="42"/>
        </w:numPr>
        <w:jc w:val="both"/>
        <w:rPr>
          <w:rFonts w:ascii="Arial" w:hAnsi="Arial" w:cs="Arial"/>
          <w:highlight w:val="yellow"/>
        </w:rPr>
      </w:pPr>
      <w:proofErr w:type="gramStart"/>
      <w:r w:rsidRPr="00DB0CDA">
        <w:rPr>
          <w:rFonts w:ascii="Arial" w:hAnsi="Arial" w:cs="Arial"/>
          <w:highlight w:val="yellow"/>
        </w:rPr>
        <w:t>compte</w:t>
      </w:r>
      <w:proofErr w:type="gramEnd"/>
      <w:r w:rsidRPr="00DB0CDA">
        <w:rPr>
          <w:rFonts w:ascii="Arial" w:hAnsi="Arial" w:cs="Arial"/>
          <w:highlight w:val="yellow"/>
        </w:rPr>
        <w:t xml:space="preserve"> du nombre de patients différents (et non du nombre de venues) ;</w:t>
      </w:r>
    </w:p>
    <w:p w14:paraId="43D94102" w14:textId="77777777" w:rsidR="00166E46" w:rsidRPr="00DB0CDA" w:rsidRDefault="00166E46" w:rsidP="00166E46">
      <w:pPr>
        <w:pStyle w:val="xmsonormal"/>
        <w:numPr>
          <w:ilvl w:val="0"/>
          <w:numId w:val="42"/>
        </w:numPr>
        <w:jc w:val="both"/>
        <w:rPr>
          <w:rFonts w:ascii="Arial" w:hAnsi="Arial" w:cs="Arial"/>
          <w:highlight w:val="yellow"/>
        </w:rPr>
      </w:pPr>
      <w:r w:rsidRPr="00DB0CDA">
        <w:rPr>
          <w:rFonts w:ascii="Arial" w:hAnsi="Arial" w:cs="Arial"/>
          <w:highlight w:val="yellow"/>
        </w:rPr>
        <w:t>… Pour chacun des 4 statuts : provisoire – récupérée – validée – qualifiée.</w:t>
      </w:r>
    </w:p>
    <w:p w14:paraId="3CE53AE6" w14:textId="77777777" w:rsidR="00011767" w:rsidRPr="00EE2419" w:rsidRDefault="00011767" w:rsidP="0003638C">
      <w:pPr>
        <w:rPr>
          <w:rFonts w:cs="Arial"/>
          <w:color w:val="auto"/>
          <w:highlight w:val="yellow"/>
        </w:rPr>
      </w:pPr>
    </w:p>
    <w:sectPr w:rsidR="00011767" w:rsidRPr="00EE2419" w:rsidSect="00240ED2">
      <w:headerReference w:type="default" r:id="rId13"/>
      <w:footerReference w:type="default" r:id="rId14"/>
      <w:headerReference w:type="first" r:id="rId15"/>
      <w:footerReference w:type="first" r:id="rId16"/>
      <w:pgSz w:w="11900" w:h="16840"/>
      <w:pgMar w:top="1417" w:right="1417" w:bottom="1417" w:left="1417" w:header="737" w:footer="11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A0F7" w14:textId="77777777" w:rsidR="00027EE8" w:rsidRDefault="00027EE8" w:rsidP="00F17193">
      <w:r>
        <w:separator/>
      </w:r>
    </w:p>
  </w:endnote>
  <w:endnote w:type="continuationSeparator" w:id="0">
    <w:p w14:paraId="0595712F" w14:textId="77777777" w:rsidR="00027EE8" w:rsidRDefault="00027EE8" w:rsidP="00F1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4F7B" w14:textId="77777777" w:rsidR="00845A7E" w:rsidRDefault="00845A7E" w:rsidP="00F17193">
    <w:pPr>
      <w:rPr>
        <w:noProof/>
      </w:rPr>
    </w:pPr>
  </w:p>
  <w:p w14:paraId="5648B2EF" w14:textId="77777777" w:rsidR="00845A7E" w:rsidRDefault="00845A7E" w:rsidP="00F17193"/>
  <w:p w14:paraId="6C0F4583" w14:textId="77777777" w:rsidR="00845A7E" w:rsidRDefault="00845A7E" w:rsidP="00F17193"/>
  <w:p w14:paraId="2D78AE07" w14:textId="070F2BC8" w:rsidR="00845A7E" w:rsidRDefault="00845A7E" w:rsidP="00F17193">
    <w:r>
      <w:rPr>
        <w:noProof/>
      </w:rPr>
      <w:drawing>
        <wp:anchor distT="0" distB="0" distL="114300" distR="114300" simplePos="0" relativeHeight="251684864" behindDoc="1" locked="0" layoutInCell="1" allowOverlap="1" wp14:anchorId="325EC0B8" wp14:editId="79B4028E">
          <wp:simplePos x="0" y="0"/>
          <wp:positionH relativeFrom="page">
            <wp:posOffset>0</wp:posOffset>
          </wp:positionH>
          <wp:positionV relativeFrom="paragraph">
            <wp:posOffset>36333</wp:posOffset>
          </wp:positionV>
          <wp:extent cx="2138901" cy="10496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Word-Pied-de-page.jpg"/>
                  <pic:cNvPicPr/>
                </pic:nvPicPr>
                <pic:blipFill rotWithShape="1">
                  <a:blip r:embed="rId1">
                    <a:extLst>
                      <a:ext uri="{28A0092B-C50C-407E-A947-70E740481C1C}">
                        <a14:useLocalDpi xmlns:a14="http://schemas.microsoft.com/office/drawing/2010/main" val="0"/>
                      </a:ext>
                    </a:extLst>
                  </a:blip>
                  <a:srcRect t="27065" r="71772"/>
                  <a:stretch/>
                </pic:blipFill>
                <pic:spPr bwMode="auto">
                  <a:xfrm>
                    <a:off x="0" y="0"/>
                    <a:ext cx="2139463" cy="10499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84" behindDoc="0" locked="0" layoutInCell="1" allowOverlap="1" wp14:anchorId="735FCDA6" wp14:editId="0AA676E9">
              <wp:simplePos x="0" y="0"/>
              <wp:positionH relativeFrom="rightMargin">
                <wp:align>left</wp:align>
              </wp:positionH>
              <wp:positionV relativeFrom="paragraph">
                <wp:posOffset>388148</wp:posOffset>
              </wp:positionV>
              <wp:extent cx="732155" cy="251460"/>
              <wp:effectExtent l="0" t="0" r="10795" b="15240"/>
              <wp:wrapNone/>
              <wp:docPr id="24" name="Zone de texte 24"/>
              <wp:cNvGraphicFramePr/>
              <a:graphic xmlns:a="http://schemas.openxmlformats.org/drawingml/2006/main">
                <a:graphicData uri="http://schemas.microsoft.com/office/word/2010/wordprocessingShape">
                  <wps:wsp>
                    <wps:cNvSpPr txBox="1"/>
                    <wps:spPr>
                      <a:xfrm>
                        <a:off x="0" y="0"/>
                        <a:ext cx="732155" cy="251460"/>
                      </a:xfrm>
                      <a:prstGeom prst="rect">
                        <a:avLst/>
                      </a:prstGeom>
                      <a:noFill/>
                      <a:ln w="6350">
                        <a:noFill/>
                      </a:ln>
                    </wps:spPr>
                    <wps:txbx>
                      <w:txbxContent>
                        <w:p w14:paraId="24B653C6" w14:textId="43DED856" w:rsidR="00845A7E" w:rsidRPr="00A47CE4" w:rsidRDefault="00845A7E" w:rsidP="00F17193">
                          <w:pPr>
                            <w:rPr>
                              <w:color w:val="44546A" w:themeColor="text2"/>
                              <w:sz w:val="14"/>
                              <w:szCs w:val="14"/>
                            </w:rPr>
                          </w:pPr>
                          <w:proofErr w:type="gramStart"/>
                          <w:r w:rsidRPr="00A47CE4">
                            <w:rPr>
                              <w:color w:val="44546A" w:themeColor="text2"/>
                              <w:sz w:val="14"/>
                              <w:szCs w:val="14"/>
                            </w:rPr>
                            <w:t>page</w:t>
                          </w:r>
                          <w:proofErr w:type="gramEnd"/>
                          <w:r w:rsidRPr="00A47CE4">
                            <w:rPr>
                              <w:color w:val="44546A" w:themeColor="text2"/>
                              <w:sz w:val="14"/>
                              <w:szCs w:val="14"/>
                            </w:rPr>
                            <w:t xml:space="preserve"> </w:t>
                          </w:r>
                          <w:r w:rsidRPr="00A47CE4">
                            <w:rPr>
                              <w:color w:val="44546A" w:themeColor="text2"/>
                              <w:sz w:val="14"/>
                              <w:szCs w:val="14"/>
                            </w:rPr>
                            <w:fldChar w:fldCharType="begin"/>
                          </w:r>
                          <w:r w:rsidRPr="00A47CE4">
                            <w:rPr>
                              <w:color w:val="44546A" w:themeColor="text2"/>
                              <w:sz w:val="14"/>
                              <w:szCs w:val="14"/>
                            </w:rPr>
                            <w:instrText xml:space="preserve"> PAGE   \* MERGEFORMAT </w:instrText>
                          </w:r>
                          <w:r w:rsidRPr="00A47CE4">
                            <w:rPr>
                              <w:color w:val="44546A" w:themeColor="text2"/>
                              <w:sz w:val="14"/>
                              <w:szCs w:val="14"/>
                            </w:rPr>
                            <w:fldChar w:fldCharType="separate"/>
                          </w:r>
                          <w:r w:rsidR="00E31B89">
                            <w:rPr>
                              <w:noProof/>
                              <w:color w:val="44546A" w:themeColor="text2"/>
                              <w:sz w:val="14"/>
                              <w:szCs w:val="14"/>
                            </w:rPr>
                            <w:t>2</w:t>
                          </w:r>
                          <w:r w:rsidRPr="00A47CE4">
                            <w:rPr>
                              <w:color w:val="44546A" w:themeColor="text2"/>
                              <w:sz w:val="14"/>
                              <w:szCs w:val="14"/>
                            </w:rPr>
                            <w:fldChar w:fldCharType="end"/>
                          </w:r>
                          <w:r w:rsidRPr="00A47CE4">
                            <w:rPr>
                              <w:color w:val="44546A" w:themeColor="text2"/>
                              <w:sz w:val="14"/>
                              <w:szCs w:val="14"/>
                            </w:rPr>
                            <w:t>/</w:t>
                          </w:r>
                          <w:r w:rsidRPr="00A47CE4">
                            <w:rPr>
                              <w:color w:val="44546A" w:themeColor="text2"/>
                              <w:sz w:val="14"/>
                              <w:szCs w:val="14"/>
                            </w:rPr>
                            <w:fldChar w:fldCharType="begin"/>
                          </w:r>
                          <w:r w:rsidRPr="00A47CE4">
                            <w:rPr>
                              <w:color w:val="44546A" w:themeColor="text2"/>
                              <w:sz w:val="14"/>
                              <w:szCs w:val="14"/>
                            </w:rPr>
                            <w:instrText xml:space="preserve"> NUMPAGES   \* MERGEFORMAT </w:instrText>
                          </w:r>
                          <w:r w:rsidRPr="00A47CE4">
                            <w:rPr>
                              <w:color w:val="44546A" w:themeColor="text2"/>
                              <w:sz w:val="14"/>
                              <w:szCs w:val="14"/>
                            </w:rPr>
                            <w:fldChar w:fldCharType="separate"/>
                          </w:r>
                          <w:r w:rsidR="00E31B89">
                            <w:rPr>
                              <w:noProof/>
                              <w:color w:val="44546A" w:themeColor="text2"/>
                              <w:sz w:val="14"/>
                              <w:szCs w:val="14"/>
                            </w:rPr>
                            <w:t>3</w:t>
                          </w:r>
                          <w:r w:rsidRPr="00A47CE4">
                            <w:rPr>
                              <w:noProof/>
                              <w:color w:val="44546A" w:themeColor="text2"/>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FCDA6" id="_x0000_t202" coordsize="21600,21600" o:spt="202" path="m,l,21600r21600,l21600,xe">
              <v:stroke joinstyle="miter"/>
              <v:path gradientshapeok="t" o:connecttype="rect"/>
            </v:shapetype>
            <v:shape id="Zone de texte 24" o:spid="_x0000_s1028" type="#_x0000_t202" style="position:absolute;left:0;text-align:left;margin-left:0;margin-top:30.55pt;width:57.65pt;height:19.8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" filled="f" stroked="f" strokeweight=".5pt">
              <v:textbox inset="0,0,0,0">
                <w:txbxContent>
                  <w:p w14:paraId="24B653C6" w14:textId="43DED856" w:rsidR="00845A7E" w:rsidRPr="00A47CE4" w:rsidRDefault="00845A7E" w:rsidP="00F17193">
                    <w:pPr>
                      <w:rPr>
                        <w:color w:val="44546A" w:themeColor="text2"/>
                        <w:sz w:val="14"/>
                        <w:szCs w:val="14"/>
                      </w:rPr>
                    </w:pPr>
                    <w:proofErr w:type="gramStart"/>
                    <w:r w:rsidRPr="00A47CE4">
                      <w:rPr>
                        <w:color w:val="44546A" w:themeColor="text2"/>
                        <w:sz w:val="14"/>
                        <w:szCs w:val="14"/>
                      </w:rPr>
                      <w:t>page</w:t>
                    </w:r>
                    <w:proofErr w:type="gramEnd"/>
                    <w:r w:rsidRPr="00A47CE4">
                      <w:rPr>
                        <w:color w:val="44546A" w:themeColor="text2"/>
                        <w:sz w:val="14"/>
                        <w:szCs w:val="14"/>
                      </w:rPr>
                      <w:t xml:space="preserve"> </w:t>
                    </w:r>
                    <w:r w:rsidRPr="00A47CE4">
                      <w:rPr>
                        <w:color w:val="44546A" w:themeColor="text2"/>
                        <w:sz w:val="14"/>
                        <w:szCs w:val="14"/>
                      </w:rPr>
                      <w:fldChar w:fldCharType="begin"/>
                    </w:r>
                    <w:r w:rsidRPr="00A47CE4">
                      <w:rPr>
                        <w:color w:val="44546A" w:themeColor="text2"/>
                        <w:sz w:val="14"/>
                        <w:szCs w:val="14"/>
                      </w:rPr>
                      <w:instrText xml:space="preserve"> PAGE   \* MERGEFORMAT </w:instrText>
                    </w:r>
                    <w:r w:rsidRPr="00A47CE4">
                      <w:rPr>
                        <w:color w:val="44546A" w:themeColor="text2"/>
                        <w:sz w:val="14"/>
                        <w:szCs w:val="14"/>
                      </w:rPr>
                      <w:fldChar w:fldCharType="separate"/>
                    </w:r>
                    <w:r w:rsidR="00E31B89">
                      <w:rPr>
                        <w:noProof/>
                        <w:color w:val="44546A" w:themeColor="text2"/>
                        <w:sz w:val="14"/>
                        <w:szCs w:val="14"/>
                      </w:rPr>
                      <w:t>2</w:t>
                    </w:r>
                    <w:r w:rsidRPr="00A47CE4">
                      <w:rPr>
                        <w:color w:val="44546A" w:themeColor="text2"/>
                        <w:sz w:val="14"/>
                        <w:szCs w:val="14"/>
                      </w:rPr>
                      <w:fldChar w:fldCharType="end"/>
                    </w:r>
                    <w:r w:rsidRPr="00A47CE4">
                      <w:rPr>
                        <w:color w:val="44546A" w:themeColor="text2"/>
                        <w:sz w:val="14"/>
                        <w:szCs w:val="14"/>
                      </w:rPr>
                      <w:t>/</w:t>
                    </w:r>
                    <w:r w:rsidRPr="00A47CE4">
                      <w:rPr>
                        <w:color w:val="44546A" w:themeColor="text2"/>
                        <w:sz w:val="14"/>
                        <w:szCs w:val="14"/>
                      </w:rPr>
                      <w:fldChar w:fldCharType="begin"/>
                    </w:r>
                    <w:r w:rsidRPr="00A47CE4">
                      <w:rPr>
                        <w:color w:val="44546A" w:themeColor="text2"/>
                        <w:sz w:val="14"/>
                        <w:szCs w:val="14"/>
                      </w:rPr>
                      <w:instrText xml:space="preserve"> NUMPAGES   \* MERGEFORMAT </w:instrText>
                    </w:r>
                    <w:r w:rsidRPr="00A47CE4">
                      <w:rPr>
                        <w:color w:val="44546A" w:themeColor="text2"/>
                        <w:sz w:val="14"/>
                        <w:szCs w:val="14"/>
                      </w:rPr>
                      <w:fldChar w:fldCharType="separate"/>
                    </w:r>
                    <w:r w:rsidR="00E31B89">
                      <w:rPr>
                        <w:noProof/>
                        <w:color w:val="44546A" w:themeColor="text2"/>
                        <w:sz w:val="14"/>
                        <w:szCs w:val="14"/>
                      </w:rPr>
                      <w:t>3</w:t>
                    </w:r>
                    <w:r w:rsidRPr="00A47CE4">
                      <w:rPr>
                        <w:noProof/>
                        <w:color w:val="44546A" w:themeColor="text2"/>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4AE07ED1" wp14:editId="08CCA7CF">
              <wp:simplePos x="0" y="0"/>
              <wp:positionH relativeFrom="column">
                <wp:posOffset>3029025</wp:posOffset>
              </wp:positionH>
              <wp:positionV relativeFrom="paragraph">
                <wp:posOffset>132407</wp:posOffset>
              </wp:positionV>
              <wp:extent cx="2679825" cy="457200"/>
              <wp:effectExtent l="0" t="0" r="6350" b="0"/>
              <wp:wrapNone/>
              <wp:docPr id="9" name="Zone de texte 9"/>
              <wp:cNvGraphicFramePr/>
              <a:graphic xmlns:a="http://schemas.openxmlformats.org/drawingml/2006/main">
                <a:graphicData uri="http://schemas.microsoft.com/office/word/2010/wordprocessingShape">
                  <wps:wsp>
                    <wps:cNvSpPr txBox="1"/>
                    <wps:spPr>
                      <a:xfrm>
                        <a:off x="0" y="0"/>
                        <a:ext cx="2679825" cy="457200"/>
                      </a:xfrm>
                      <a:prstGeom prst="rect">
                        <a:avLst/>
                      </a:prstGeom>
                      <a:noFill/>
                      <a:ln w="6350">
                        <a:noFill/>
                      </a:ln>
                    </wps:spPr>
                    <wps:txbx>
                      <w:txbxContent>
                        <w:p w14:paraId="1A0081B2" w14:textId="6B740B6C" w:rsidR="00845A7E" w:rsidRPr="004E68DF" w:rsidRDefault="008E789E" w:rsidP="00A47CE4">
                          <w:pPr>
                            <w:spacing w:after="120"/>
                            <w:rPr>
                              <w:rFonts w:cs="Arial"/>
                              <w:b/>
                              <w:color w:val="1C3354"/>
                              <w:sz w:val="16"/>
                              <w:szCs w:val="16"/>
                            </w:rPr>
                          </w:pPr>
                          <w:r>
                            <w:rPr>
                              <w:rFonts w:cs="Arial"/>
                              <w:b/>
                              <w:color w:val="1C3354"/>
                              <w:sz w:val="16"/>
                              <w:szCs w:val="16"/>
                            </w:rPr>
                            <w:t>INS – modalité de calcul des indicateurs de suivi de qualification</w:t>
                          </w:r>
                        </w:p>
                        <w:p w14:paraId="207C5B43" w14:textId="77777777" w:rsidR="00845A7E" w:rsidRPr="004E68DF" w:rsidRDefault="00845A7E" w:rsidP="00A47CE4">
                          <w:pPr>
                            <w:rPr>
                              <w:rFonts w:ascii="Arial Narrow" w:hAnsi="Arial Narrow" w:cs="Arial"/>
                              <w:color w:val="1C3354"/>
                              <w:sz w:val="13"/>
                              <w:szCs w:val="13"/>
                            </w:rPr>
                          </w:pPr>
                          <w:r w:rsidRPr="004E68DF">
                            <w:rPr>
                              <w:rFonts w:ascii="Arial Narrow" w:hAnsi="Arial Narrow" w:cs="Arial"/>
                              <w:color w:val="1C3354"/>
                              <w:sz w:val="13"/>
                              <w:szCs w:val="13"/>
                            </w:rPr>
                            <w:t>Ce document est la propriété de l’ANS - Son utilisation, sa reproduction ou sa diffusion sans l’autorisation préalable et écrite de l’ANS sont interdites.</w:t>
                          </w:r>
                        </w:p>
                        <w:p w14:paraId="5DC5EBC2" w14:textId="77777777" w:rsidR="00845A7E" w:rsidRPr="004E68DF" w:rsidRDefault="00845A7E" w:rsidP="00A47CE4">
                          <w:pPr>
                            <w:rPr>
                              <w:rFonts w:cs="Arial"/>
                              <w:color w:val="1C335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7ED1" id="Zone de texte 9" o:spid="_x0000_s1029" type="#_x0000_t202" style="position:absolute;left:0;text-align:left;margin-left:238.5pt;margin-top:10.45pt;width:211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" filled="f" stroked="f" strokeweight=".5pt">
              <v:textbox inset="0,0,0,0">
                <w:txbxContent>
                  <w:p w14:paraId="1A0081B2" w14:textId="6B740B6C" w:rsidR="00845A7E" w:rsidRPr="004E68DF" w:rsidRDefault="008E789E" w:rsidP="00A47CE4">
                    <w:pPr>
                      <w:spacing w:after="120"/>
                      <w:rPr>
                        <w:rFonts w:cs="Arial"/>
                        <w:b/>
                        <w:color w:val="1C3354"/>
                        <w:sz w:val="16"/>
                        <w:szCs w:val="16"/>
                      </w:rPr>
                    </w:pPr>
                    <w:r>
                      <w:rPr>
                        <w:rFonts w:cs="Arial"/>
                        <w:b/>
                        <w:color w:val="1C3354"/>
                        <w:sz w:val="16"/>
                        <w:szCs w:val="16"/>
                      </w:rPr>
                      <w:t>INS – modalité de calcul des indicateurs de suivi de qualification</w:t>
                    </w:r>
                  </w:p>
                  <w:p w14:paraId="207C5B43" w14:textId="77777777" w:rsidR="00845A7E" w:rsidRPr="004E68DF" w:rsidRDefault="00845A7E" w:rsidP="00A47CE4">
                    <w:pPr>
                      <w:rPr>
                        <w:rFonts w:ascii="Arial Narrow" w:hAnsi="Arial Narrow" w:cs="Arial"/>
                        <w:color w:val="1C3354"/>
                        <w:sz w:val="13"/>
                        <w:szCs w:val="13"/>
                      </w:rPr>
                    </w:pPr>
                    <w:r w:rsidRPr="004E68DF">
                      <w:rPr>
                        <w:rFonts w:ascii="Arial Narrow" w:hAnsi="Arial Narrow" w:cs="Arial"/>
                        <w:color w:val="1C3354"/>
                        <w:sz w:val="13"/>
                        <w:szCs w:val="13"/>
                      </w:rPr>
                      <w:t>Ce document est la propriété de l’ANS - Son utilisation, sa reproduction ou sa diffusion sans l’autorisation préalable et écrite de l’ANS sont interdites.</w:t>
                    </w:r>
                  </w:p>
                  <w:p w14:paraId="5DC5EBC2" w14:textId="77777777" w:rsidR="00845A7E" w:rsidRPr="004E68DF" w:rsidRDefault="00845A7E" w:rsidP="00A47CE4">
                    <w:pPr>
                      <w:rPr>
                        <w:rFonts w:cs="Arial"/>
                        <w:color w:val="1C3354"/>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E659" w14:textId="59400255" w:rsidR="00845A7E" w:rsidRDefault="00845A7E" w:rsidP="00F17193">
    <w:pPr>
      <w:pStyle w:val="Pieddepage"/>
    </w:pPr>
    <w:r>
      <w:rPr>
        <w:noProof/>
      </w:rPr>
      <w:drawing>
        <wp:anchor distT="0" distB="0" distL="114300" distR="114300" simplePos="0" relativeHeight="251698176" behindDoc="1" locked="0" layoutInCell="1" allowOverlap="1" wp14:anchorId="1EA8356C" wp14:editId="07A64A6D">
          <wp:simplePos x="0" y="0"/>
          <wp:positionH relativeFrom="page">
            <wp:posOffset>0</wp:posOffset>
          </wp:positionH>
          <wp:positionV relativeFrom="paragraph">
            <wp:posOffset>-409508</wp:posOffset>
          </wp:positionV>
          <wp:extent cx="7581600" cy="1439866"/>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c-Word-Pied-de-page.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4398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E287" w14:textId="77777777" w:rsidR="00027EE8" w:rsidRDefault="00027EE8" w:rsidP="00F17193">
      <w:r>
        <w:separator/>
      </w:r>
    </w:p>
  </w:footnote>
  <w:footnote w:type="continuationSeparator" w:id="0">
    <w:p w14:paraId="4A809ECA" w14:textId="77777777" w:rsidR="00027EE8" w:rsidRDefault="00027EE8" w:rsidP="00F17193">
      <w:r>
        <w:continuationSeparator/>
      </w:r>
    </w:p>
  </w:footnote>
  <w:footnote w:id="1">
    <w:p w14:paraId="599B7F07" w14:textId="4B78A7E2" w:rsidR="00166E46" w:rsidRPr="00DB0CDA" w:rsidRDefault="00166E46">
      <w:pPr>
        <w:pStyle w:val="Notedebasdepage"/>
        <w:rPr>
          <w:highlight w:val="yellow"/>
          <w:lang w:val="en-US"/>
        </w:rPr>
      </w:pPr>
      <w:r w:rsidRPr="00DB0CDA">
        <w:rPr>
          <w:rStyle w:val="Appelnotedebasdep"/>
          <w:highlight w:val="yellow"/>
        </w:rPr>
        <w:footnoteRef/>
      </w:r>
      <w:r w:rsidRPr="00DB0CDA">
        <w:rPr>
          <w:highlight w:val="yellow"/>
          <w:lang w:val="en-US"/>
        </w:rPr>
        <w:t xml:space="preserve"> EHPAD, FH, MAS, FAM, SSIAD, SAAD, SPASAD etc. </w:t>
      </w:r>
    </w:p>
    <w:p w14:paraId="6ECD5693" w14:textId="77777777" w:rsidR="00166E46" w:rsidRPr="00DB0CDA" w:rsidRDefault="00166E46">
      <w:pPr>
        <w:pStyle w:val="Notedebasdepage"/>
        <w:rPr>
          <w:highlight w:val="yellow"/>
          <w:lang w:val="en-US"/>
        </w:rPr>
      </w:pPr>
    </w:p>
  </w:footnote>
  <w:footnote w:id="2">
    <w:p w14:paraId="787D40F0" w14:textId="4789DD7E" w:rsidR="00166E46" w:rsidRDefault="00166E46">
      <w:pPr>
        <w:pStyle w:val="Notedebasdepage"/>
      </w:pPr>
      <w:r w:rsidRPr="00DB0CDA">
        <w:rPr>
          <w:rStyle w:val="Appelnotedebasdep"/>
          <w:highlight w:val="yellow"/>
        </w:rPr>
        <w:footnoteRef/>
      </w:r>
      <w:r w:rsidRPr="00DB0CDA">
        <w:rPr>
          <w:highlight w:val="yellow"/>
        </w:rPr>
        <w:t xml:space="preserve"> Les prises en charge prévisionnelles ne sont pas à inclure (résident en EHPAD dont l’inscription est en cours par exemple)</w:t>
      </w:r>
    </w:p>
  </w:footnote>
  <w:footnote w:id="3">
    <w:p w14:paraId="57287CE4" w14:textId="0034C362" w:rsidR="00166E46" w:rsidRDefault="00166E46">
      <w:pPr>
        <w:pStyle w:val="Notedebasdepage"/>
      </w:pPr>
      <w:r w:rsidRPr="00DB0CDA">
        <w:rPr>
          <w:rStyle w:val="Appelnotedebasdep"/>
          <w:highlight w:val="yellow"/>
        </w:rPr>
        <w:footnoteRef/>
      </w:r>
      <w:r w:rsidRPr="00DB0CDA">
        <w:rPr>
          <w:highlight w:val="yellow"/>
        </w:rPr>
        <w:t xml:space="preserve"> CAMSP, CMP, PMI</w:t>
      </w:r>
      <w:r w:rsidR="00415E06" w:rsidRPr="00DB0CDA">
        <w:rPr>
          <w:highlight w:val="yellow"/>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5668"/>
      <w:gridCol w:w="1846"/>
      <w:gridCol w:w="1552"/>
    </w:tblGrid>
    <w:tr w:rsidR="00845A7E" w:rsidRPr="00994950" w14:paraId="56C2B822" w14:textId="77777777" w:rsidTr="006B0D2D">
      <w:trPr>
        <w:trHeight w:val="874"/>
        <w:jc w:val="center"/>
      </w:trPr>
      <w:tc>
        <w:tcPr>
          <w:tcW w:w="3126" w:type="pct"/>
          <w:vAlign w:val="center"/>
        </w:tcPr>
        <w:p w14:paraId="18632096" w14:textId="7F0EDB8B" w:rsidR="00845A7E" w:rsidRPr="00994950" w:rsidRDefault="00845A7E" w:rsidP="00F17193">
          <w:pPr>
            <w:rPr>
              <w:vertAlign w:val="subscript"/>
            </w:rPr>
          </w:pPr>
        </w:p>
      </w:tc>
      <w:tc>
        <w:tcPr>
          <w:tcW w:w="1018" w:type="pct"/>
          <w:vAlign w:val="center"/>
        </w:tcPr>
        <w:p w14:paraId="2DE5D53D" w14:textId="61E5E447" w:rsidR="00845A7E" w:rsidRPr="00994950" w:rsidRDefault="00845A7E" w:rsidP="00F17193">
          <w:pPr>
            <w:rPr>
              <w:vertAlign w:val="subscript"/>
            </w:rPr>
          </w:pPr>
        </w:p>
      </w:tc>
      <w:tc>
        <w:tcPr>
          <w:tcW w:w="856" w:type="pct"/>
          <w:vAlign w:val="center"/>
        </w:tcPr>
        <w:p w14:paraId="653253B8" w14:textId="4B7362A4" w:rsidR="00845A7E" w:rsidRPr="00994950" w:rsidRDefault="00845A7E" w:rsidP="00F17193">
          <w:pPr>
            <w:rPr>
              <w:vertAlign w:val="subscript"/>
            </w:rPr>
          </w:pPr>
        </w:p>
      </w:tc>
    </w:tr>
  </w:tbl>
  <w:p w14:paraId="47028026" w14:textId="7F63B88D" w:rsidR="00845A7E" w:rsidRDefault="00845A7E" w:rsidP="00F17193">
    <w:pPr>
      <w:pStyle w:val="En-tte"/>
    </w:pPr>
    <w:r>
      <w:rPr>
        <w:noProof/>
      </w:rPr>
      <w:drawing>
        <wp:anchor distT="0" distB="0" distL="114300" distR="114300" simplePos="0" relativeHeight="251692032" behindDoc="1" locked="0" layoutInCell="1" allowOverlap="1" wp14:anchorId="2FABF322" wp14:editId="67B5F7B2">
          <wp:simplePos x="0" y="0"/>
          <wp:positionH relativeFrom="page">
            <wp:posOffset>0</wp:posOffset>
          </wp:positionH>
          <wp:positionV relativeFrom="page">
            <wp:align>top</wp:align>
          </wp:positionV>
          <wp:extent cx="7578000" cy="14400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c-Word-En-Tête.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9710" w14:textId="29EBF68D" w:rsidR="00845A7E" w:rsidRDefault="00845A7E" w:rsidP="00F17193">
    <w:pPr>
      <w:pStyle w:val="En-tte"/>
    </w:pPr>
    <w:r>
      <w:rPr>
        <w:noProof/>
      </w:rPr>
      <w:drawing>
        <wp:anchor distT="0" distB="0" distL="114300" distR="114300" simplePos="0" relativeHeight="251697152" behindDoc="1" locked="0" layoutInCell="1" allowOverlap="1" wp14:anchorId="5C5E42F5" wp14:editId="370E519E">
          <wp:simplePos x="0" y="0"/>
          <wp:positionH relativeFrom="page">
            <wp:posOffset>-14359</wp:posOffset>
          </wp:positionH>
          <wp:positionV relativeFrom="paragraph">
            <wp:posOffset>-454571</wp:posOffset>
          </wp:positionV>
          <wp:extent cx="7581600" cy="144000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Word-En-Tête.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440000"/>
                  </a:xfrm>
                  <a:prstGeom prst="rect">
                    <a:avLst/>
                  </a:prstGeom>
                </pic:spPr>
              </pic:pic>
            </a:graphicData>
          </a:graphic>
          <wp14:sizeRelH relativeFrom="margin">
            <wp14:pctWidth>0</wp14:pctWidth>
          </wp14:sizeRelH>
          <wp14:sizeRelV relativeFrom="margin">
            <wp14:pctHeight>0</wp14:pctHeight>
          </wp14:sizeRelV>
        </wp:anchor>
      </w:drawing>
    </w:r>
  </w:p>
  <w:p w14:paraId="38759D74" w14:textId="1AC4E8AA" w:rsidR="00845A7E" w:rsidRDefault="00845A7E" w:rsidP="00F17193">
    <w:pPr>
      <w:pStyle w:val="En-tte"/>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E18"/>
    <w:multiLevelType w:val="hybridMultilevel"/>
    <w:tmpl w:val="87BEF25E"/>
    <w:lvl w:ilvl="0" w:tplc="227A13C6">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62FC5"/>
    <w:multiLevelType w:val="hybridMultilevel"/>
    <w:tmpl w:val="ABEC1EEC"/>
    <w:lvl w:ilvl="0" w:tplc="040C0001">
      <w:start w:val="1"/>
      <w:numFmt w:val="bullet"/>
      <w:lvlText w:val=""/>
      <w:lvlJc w:val="left"/>
      <w:pPr>
        <w:ind w:left="456" w:hanging="360"/>
      </w:pPr>
      <w:rPr>
        <w:rFonts w:ascii="Symbol" w:hAnsi="Symbol" w:hint="default"/>
      </w:rPr>
    </w:lvl>
    <w:lvl w:ilvl="1" w:tplc="040C0003" w:tentative="1">
      <w:start w:val="1"/>
      <w:numFmt w:val="bullet"/>
      <w:lvlText w:val="o"/>
      <w:lvlJc w:val="left"/>
      <w:pPr>
        <w:ind w:left="1176" w:hanging="360"/>
      </w:pPr>
      <w:rPr>
        <w:rFonts w:ascii="Courier New" w:hAnsi="Courier New" w:cs="Courier New" w:hint="default"/>
      </w:rPr>
    </w:lvl>
    <w:lvl w:ilvl="2" w:tplc="040C0005" w:tentative="1">
      <w:start w:val="1"/>
      <w:numFmt w:val="bullet"/>
      <w:lvlText w:val=""/>
      <w:lvlJc w:val="left"/>
      <w:pPr>
        <w:ind w:left="1896" w:hanging="360"/>
      </w:pPr>
      <w:rPr>
        <w:rFonts w:ascii="Wingdings" w:hAnsi="Wingdings" w:hint="default"/>
      </w:rPr>
    </w:lvl>
    <w:lvl w:ilvl="3" w:tplc="040C0001" w:tentative="1">
      <w:start w:val="1"/>
      <w:numFmt w:val="bullet"/>
      <w:lvlText w:val=""/>
      <w:lvlJc w:val="left"/>
      <w:pPr>
        <w:ind w:left="2616" w:hanging="360"/>
      </w:pPr>
      <w:rPr>
        <w:rFonts w:ascii="Symbol" w:hAnsi="Symbol" w:hint="default"/>
      </w:rPr>
    </w:lvl>
    <w:lvl w:ilvl="4" w:tplc="040C0003" w:tentative="1">
      <w:start w:val="1"/>
      <w:numFmt w:val="bullet"/>
      <w:lvlText w:val="o"/>
      <w:lvlJc w:val="left"/>
      <w:pPr>
        <w:ind w:left="3336" w:hanging="360"/>
      </w:pPr>
      <w:rPr>
        <w:rFonts w:ascii="Courier New" w:hAnsi="Courier New" w:cs="Courier New" w:hint="default"/>
      </w:rPr>
    </w:lvl>
    <w:lvl w:ilvl="5" w:tplc="040C0005" w:tentative="1">
      <w:start w:val="1"/>
      <w:numFmt w:val="bullet"/>
      <w:lvlText w:val=""/>
      <w:lvlJc w:val="left"/>
      <w:pPr>
        <w:ind w:left="4056" w:hanging="360"/>
      </w:pPr>
      <w:rPr>
        <w:rFonts w:ascii="Wingdings" w:hAnsi="Wingdings" w:hint="default"/>
      </w:rPr>
    </w:lvl>
    <w:lvl w:ilvl="6" w:tplc="040C0001" w:tentative="1">
      <w:start w:val="1"/>
      <w:numFmt w:val="bullet"/>
      <w:lvlText w:val=""/>
      <w:lvlJc w:val="left"/>
      <w:pPr>
        <w:ind w:left="4776" w:hanging="360"/>
      </w:pPr>
      <w:rPr>
        <w:rFonts w:ascii="Symbol" w:hAnsi="Symbol" w:hint="default"/>
      </w:rPr>
    </w:lvl>
    <w:lvl w:ilvl="7" w:tplc="040C0003" w:tentative="1">
      <w:start w:val="1"/>
      <w:numFmt w:val="bullet"/>
      <w:lvlText w:val="o"/>
      <w:lvlJc w:val="left"/>
      <w:pPr>
        <w:ind w:left="5496" w:hanging="360"/>
      </w:pPr>
      <w:rPr>
        <w:rFonts w:ascii="Courier New" w:hAnsi="Courier New" w:cs="Courier New" w:hint="default"/>
      </w:rPr>
    </w:lvl>
    <w:lvl w:ilvl="8" w:tplc="040C0005" w:tentative="1">
      <w:start w:val="1"/>
      <w:numFmt w:val="bullet"/>
      <w:lvlText w:val=""/>
      <w:lvlJc w:val="left"/>
      <w:pPr>
        <w:ind w:left="6216" w:hanging="360"/>
      </w:pPr>
      <w:rPr>
        <w:rFonts w:ascii="Wingdings" w:hAnsi="Wingdings" w:hint="default"/>
      </w:rPr>
    </w:lvl>
  </w:abstractNum>
  <w:abstractNum w:abstractNumId="2" w15:restartNumberingAfterBreak="0">
    <w:nsid w:val="0D424A45"/>
    <w:multiLevelType w:val="hybridMultilevel"/>
    <w:tmpl w:val="E78208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DBD3EC0"/>
    <w:multiLevelType w:val="hybridMultilevel"/>
    <w:tmpl w:val="F6C6CF64"/>
    <w:lvl w:ilvl="0" w:tplc="2E246812">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0EC95E5F"/>
    <w:multiLevelType w:val="hybridMultilevel"/>
    <w:tmpl w:val="6DD2AA42"/>
    <w:lvl w:ilvl="0" w:tplc="99ACEA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56CBB"/>
    <w:multiLevelType w:val="hybridMultilevel"/>
    <w:tmpl w:val="08784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E6E15"/>
    <w:multiLevelType w:val="hybridMultilevel"/>
    <w:tmpl w:val="C69AB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3C220D"/>
    <w:multiLevelType w:val="multilevel"/>
    <w:tmpl w:val="12EE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C0E1F"/>
    <w:multiLevelType w:val="hybridMultilevel"/>
    <w:tmpl w:val="A68E247A"/>
    <w:lvl w:ilvl="0" w:tplc="2C503E7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BC74BC5"/>
    <w:multiLevelType w:val="hybridMultilevel"/>
    <w:tmpl w:val="F97A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36B21"/>
    <w:multiLevelType w:val="hybridMultilevel"/>
    <w:tmpl w:val="1A92C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40656"/>
    <w:multiLevelType w:val="hybridMultilevel"/>
    <w:tmpl w:val="B1048090"/>
    <w:lvl w:ilvl="0" w:tplc="0914804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2E099C"/>
    <w:multiLevelType w:val="hybridMultilevel"/>
    <w:tmpl w:val="A9FE1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EC3D18"/>
    <w:multiLevelType w:val="hybridMultilevel"/>
    <w:tmpl w:val="13D8846A"/>
    <w:lvl w:ilvl="0" w:tplc="2C503E70">
      <w:numFmt w:val="bullet"/>
      <w:lvlText w:val="•"/>
      <w:lvlJc w:val="left"/>
      <w:pPr>
        <w:ind w:left="2520" w:hanging="360"/>
      </w:pPr>
      <w:rPr>
        <w:rFonts w:ascii="Arial" w:eastAsiaTheme="minorHAnsi"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6176D35"/>
    <w:multiLevelType w:val="hybridMultilevel"/>
    <w:tmpl w:val="BB624948"/>
    <w:lvl w:ilvl="0" w:tplc="397EE8E8">
      <w:start w:val="3"/>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2AA35A4B"/>
    <w:multiLevelType w:val="hybridMultilevel"/>
    <w:tmpl w:val="6C289D0C"/>
    <w:lvl w:ilvl="0" w:tplc="040C0011">
      <w:start w:val="1"/>
      <w:numFmt w:val="decimal"/>
      <w:lvlText w:val="%1)"/>
      <w:lvlJc w:val="left"/>
      <w:pPr>
        <w:ind w:left="720" w:hanging="360"/>
      </w:pPr>
    </w:lvl>
    <w:lvl w:ilvl="1" w:tplc="82B24E6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592C93"/>
    <w:multiLevelType w:val="hybridMultilevel"/>
    <w:tmpl w:val="8E0E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253F87"/>
    <w:multiLevelType w:val="hybridMultilevel"/>
    <w:tmpl w:val="CB946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6A6FE2"/>
    <w:multiLevelType w:val="hybridMultilevel"/>
    <w:tmpl w:val="C548EEFC"/>
    <w:lvl w:ilvl="0" w:tplc="D5B06DE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4233EF"/>
    <w:multiLevelType w:val="hybridMultilevel"/>
    <w:tmpl w:val="42BA5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F05499"/>
    <w:multiLevelType w:val="multilevel"/>
    <w:tmpl w:val="41D0458C"/>
    <w:lvl w:ilvl="0">
      <w:start w:val="1"/>
      <w:numFmt w:val="decimal"/>
      <w:pStyle w:val="Titre1"/>
      <w:lvlText w:val="%1."/>
      <w:lvlJc w:val="left"/>
      <w:pPr>
        <w:ind w:left="644" w:hanging="360"/>
      </w:p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1" w15:restartNumberingAfterBreak="0">
    <w:nsid w:val="49434BD3"/>
    <w:multiLevelType w:val="hybridMultilevel"/>
    <w:tmpl w:val="FF142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BF11635"/>
    <w:multiLevelType w:val="hybridMultilevel"/>
    <w:tmpl w:val="43D49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F3110"/>
    <w:multiLevelType w:val="hybridMultilevel"/>
    <w:tmpl w:val="F1EE016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EF84011"/>
    <w:multiLevelType w:val="hybridMultilevel"/>
    <w:tmpl w:val="10526E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F6C3418"/>
    <w:multiLevelType w:val="hybridMultilevel"/>
    <w:tmpl w:val="948C439E"/>
    <w:lvl w:ilvl="0" w:tplc="EFE831F8">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937E7A"/>
    <w:multiLevelType w:val="hybridMultilevel"/>
    <w:tmpl w:val="BC8CCFC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50FD3EE9"/>
    <w:multiLevelType w:val="hybridMultilevel"/>
    <w:tmpl w:val="15B2A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2170ADD"/>
    <w:multiLevelType w:val="hybridMultilevel"/>
    <w:tmpl w:val="C69AB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134928"/>
    <w:multiLevelType w:val="hybridMultilevel"/>
    <w:tmpl w:val="E6EED294"/>
    <w:lvl w:ilvl="0" w:tplc="227A13C6">
      <w:start w:val="3"/>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0" w15:restartNumberingAfterBreak="0">
    <w:nsid w:val="5C127ADD"/>
    <w:multiLevelType w:val="hybridMultilevel"/>
    <w:tmpl w:val="855A4FD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5FB728FB"/>
    <w:multiLevelType w:val="hybridMultilevel"/>
    <w:tmpl w:val="D2906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5F56BC"/>
    <w:multiLevelType w:val="hybridMultilevel"/>
    <w:tmpl w:val="5F70C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A5DE8"/>
    <w:multiLevelType w:val="hybridMultilevel"/>
    <w:tmpl w:val="D2907474"/>
    <w:lvl w:ilvl="0" w:tplc="2AE062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2B5700"/>
    <w:multiLevelType w:val="hybridMultilevel"/>
    <w:tmpl w:val="E8E433AC"/>
    <w:lvl w:ilvl="0" w:tplc="D47AF96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3D7915"/>
    <w:multiLevelType w:val="hybridMultilevel"/>
    <w:tmpl w:val="E4CE6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1228F"/>
    <w:multiLevelType w:val="hybridMultilevel"/>
    <w:tmpl w:val="FA4A91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B96241"/>
    <w:multiLevelType w:val="hybridMultilevel"/>
    <w:tmpl w:val="3062990C"/>
    <w:lvl w:ilvl="0" w:tplc="D47AF96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B74BE2"/>
    <w:multiLevelType w:val="hybridMultilevel"/>
    <w:tmpl w:val="D84EB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FA20DB"/>
    <w:multiLevelType w:val="hybridMultilevel"/>
    <w:tmpl w:val="475C27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DC4196"/>
    <w:multiLevelType w:val="hybridMultilevel"/>
    <w:tmpl w:val="BCA22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7"/>
  </w:num>
  <w:num w:numId="4">
    <w:abstractNumId w:val="36"/>
  </w:num>
  <w:num w:numId="5">
    <w:abstractNumId w:val="15"/>
  </w:num>
  <w:num w:numId="6">
    <w:abstractNumId w:val="20"/>
  </w:num>
  <w:num w:numId="7">
    <w:abstractNumId w:val="7"/>
  </w:num>
  <w:num w:numId="8">
    <w:abstractNumId w:val="40"/>
  </w:num>
  <w:num w:numId="9">
    <w:abstractNumId w:val="35"/>
  </w:num>
  <w:num w:numId="10">
    <w:abstractNumId w:val="34"/>
  </w:num>
  <w:num w:numId="11">
    <w:abstractNumId w:val="37"/>
  </w:num>
  <w:num w:numId="12">
    <w:abstractNumId w:val="14"/>
  </w:num>
  <w:num w:numId="13">
    <w:abstractNumId w:val="4"/>
  </w:num>
  <w:num w:numId="14">
    <w:abstractNumId w:val="29"/>
  </w:num>
  <w:num w:numId="15">
    <w:abstractNumId w:val="0"/>
  </w:num>
  <w:num w:numId="16">
    <w:abstractNumId w:val="25"/>
  </w:num>
  <w:num w:numId="17">
    <w:abstractNumId w:val="19"/>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12"/>
  </w:num>
  <w:num w:numId="23">
    <w:abstractNumId w:val="1"/>
  </w:num>
  <w:num w:numId="24">
    <w:abstractNumId w:val="38"/>
  </w:num>
  <w:num w:numId="25">
    <w:abstractNumId w:val="21"/>
  </w:num>
  <w:num w:numId="26">
    <w:abstractNumId w:val="27"/>
  </w:num>
  <w:num w:numId="27">
    <w:abstractNumId w:val="5"/>
  </w:num>
  <w:num w:numId="28">
    <w:abstractNumId w:val="33"/>
  </w:num>
  <w:num w:numId="29">
    <w:abstractNumId w:val="39"/>
  </w:num>
  <w:num w:numId="30">
    <w:abstractNumId w:val="6"/>
  </w:num>
  <w:num w:numId="31">
    <w:abstractNumId w:val="28"/>
  </w:num>
  <w:num w:numId="32">
    <w:abstractNumId w:val="31"/>
  </w:num>
  <w:num w:numId="33">
    <w:abstractNumId w:val="23"/>
  </w:num>
  <w:num w:numId="34">
    <w:abstractNumId w:val="24"/>
  </w:num>
  <w:num w:numId="35">
    <w:abstractNumId w:val="26"/>
  </w:num>
  <w:num w:numId="36">
    <w:abstractNumId w:val="2"/>
  </w:num>
  <w:num w:numId="37">
    <w:abstractNumId w:val="30"/>
  </w:num>
  <w:num w:numId="38">
    <w:abstractNumId w:val="8"/>
  </w:num>
  <w:num w:numId="39">
    <w:abstractNumId w:val="13"/>
  </w:num>
  <w:num w:numId="40">
    <w:abstractNumId w:val="18"/>
  </w:num>
  <w:num w:numId="41">
    <w:abstractNumId w:val="16"/>
  </w:num>
  <w:num w:numId="42">
    <w:abstractNumId w:val="22"/>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28"/>
    <w:rsid w:val="00001CF7"/>
    <w:rsid w:val="00011767"/>
    <w:rsid w:val="00013C8E"/>
    <w:rsid w:val="0001583E"/>
    <w:rsid w:val="00021AFF"/>
    <w:rsid w:val="00022B1B"/>
    <w:rsid w:val="0002464A"/>
    <w:rsid w:val="00027EE8"/>
    <w:rsid w:val="0003160E"/>
    <w:rsid w:val="000317A3"/>
    <w:rsid w:val="00032D65"/>
    <w:rsid w:val="00035950"/>
    <w:rsid w:val="0003638C"/>
    <w:rsid w:val="00040718"/>
    <w:rsid w:val="000456D3"/>
    <w:rsid w:val="00053949"/>
    <w:rsid w:val="00067DFE"/>
    <w:rsid w:val="00074F74"/>
    <w:rsid w:val="00075D1E"/>
    <w:rsid w:val="00084F21"/>
    <w:rsid w:val="000B0913"/>
    <w:rsid w:val="000B29F8"/>
    <w:rsid w:val="000B46EE"/>
    <w:rsid w:val="000C022B"/>
    <w:rsid w:val="000C1082"/>
    <w:rsid w:val="000C5DB2"/>
    <w:rsid w:val="000C6D7C"/>
    <w:rsid w:val="000C7BB0"/>
    <w:rsid w:val="000D5890"/>
    <w:rsid w:val="000D6C32"/>
    <w:rsid w:val="000E2F73"/>
    <w:rsid w:val="000F2F3B"/>
    <w:rsid w:val="00112928"/>
    <w:rsid w:val="001246D7"/>
    <w:rsid w:val="00131074"/>
    <w:rsid w:val="001345B9"/>
    <w:rsid w:val="00137489"/>
    <w:rsid w:val="001430D6"/>
    <w:rsid w:val="00151487"/>
    <w:rsid w:val="00151BA9"/>
    <w:rsid w:val="0015554B"/>
    <w:rsid w:val="00166E46"/>
    <w:rsid w:val="001677FC"/>
    <w:rsid w:val="001720CA"/>
    <w:rsid w:val="00183109"/>
    <w:rsid w:val="00185D2D"/>
    <w:rsid w:val="00194C15"/>
    <w:rsid w:val="0019579A"/>
    <w:rsid w:val="00196823"/>
    <w:rsid w:val="00196843"/>
    <w:rsid w:val="001B58B0"/>
    <w:rsid w:val="001C095A"/>
    <w:rsid w:val="001C6B40"/>
    <w:rsid w:val="001D0406"/>
    <w:rsid w:val="001E0525"/>
    <w:rsid w:val="001E16AD"/>
    <w:rsid w:val="001E654D"/>
    <w:rsid w:val="001F5A29"/>
    <w:rsid w:val="001F5BDC"/>
    <w:rsid w:val="00204252"/>
    <w:rsid w:val="00214AAD"/>
    <w:rsid w:val="00215E63"/>
    <w:rsid w:val="00217482"/>
    <w:rsid w:val="0022316E"/>
    <w:rsid w:val="002314C7"/>
    <w:rsid w:val="00237F99"/>
    <w:rsid w:val="00240596"/>
    <w:rsid w:val="00240ED2"/>
    <w:rsid w:val="00240F7F"/>
    <w:rsid w:val="00241C0B"/>
    <w:rsid w:val="002504D1"/>
    <w:rsid w:val="00255A86"/>
    <w:rsid w:val="00256469"/>
    <w:rsid w:val="0026238C"/>
    <w:rsid w:val="00262EE9"/>
    <w:rsid w:val="00271988"/>
    <w:rsid w:val="00271D18"/>
    <w:rsid w:val="00271EB0"/>
    <w:rsid w:val="002760B8"/>
    <w:rsid w:val="002772AD"/>
    <w:rsid w:val="00280E8E"/>
    <w:rsid w:val="00286985"/>
    <w:rsid w:val="002944A1"/>
    <w:rsid w:val="00297C8C"/>
    <w:rsid w:val="002A1BF8"/>
    <w:rsid w:val="002A5B83"/>
    <w:rsid w:val="002B6323"/>
    <w:rsid w:val="002C654B"/>
    <w:rsid w:val="002D0C57"/>
    <w:rsid w:val="002F1ABF"/>
    <w:rsid w:val="002F36B4"/>
    <w:rsid w:val="002F4ECF"/>
    <w:rsid w:val="003003C2"/>
    <w:rsid w:val="00312511"/>
    <w:rsid w:val="00313F00"/>
    <w:rsid w:val="003221B3"/>
    <w:rsid w:val="00324CF8"/>
    <w:rsid w:val="003271B4"/>
    <w:rsid w:val="0032744F"/>
    <w:rsid w:val="00327466"/>
    <w:rsid w:val="003374B8"/>
    <w:rsid w:val="00340C8C"/>
    <w:rsid w:val="003644BD"/>
    <w:rsid w:val="00366A0D"/>
    <w:rsid w:val="003758F8"/>
    <w:rsid w:val="00376C8B"/>
    <w:rsid w:val="003957A7"/>
    <w:rsid w:val="003B34B9"/>
    <w:rsid w:val="003B6CA6"/>
    <w:rsid w:val="003C29EE"/>
    <w:rsid w:val="003C7161"/>
    <w:rsid w:val="003D30D0"/>
    <w:rsid w:val="003D6EF4"/>
    <w:rsid w:val="003D7D53"/>
    <w:rsid w:val="003E16E8"/>
    <w:rsid w:val="003E68DD"/>
    <w:rsid w:val="003F004E"/>
    <w:rsid w:val="003F3BC9"/>
    <w:rsid w:val="003F3FBD"/>
    <w:rsid w:val="003F491F"/>
    <w:rsid w:val="00403B8E"/>
    <w:rsid w:val="00411015"/>
    <w:rsid w:val="004152E7"/>
    <w:rsid w:val="00415E06"/>
    <w:rsid w:val="00420594"/>
    <w:rsid w:val="004339CE"/>
    <w:rsid w:val="00440CD3"/>
    <w:rsid w:val="00441503"/>
    <w:rsid w:val="004575A5"/>
    <w:rsid w:val="00477506"/>
    <w:rsid w:val="00477F03"/>
    <w:rsid w:val="00482190"/>
    <w:rsid w:val="00496A1A"/>
    <w:rsid w:val="00497E9E"/>
    <w:rsid w:val="004A743E"/>
    <w:rsid w:val="004B574B"/>
    <w:rsid w:val="004C55C1"/>
    <w:rsid w:val="004C6231"/>
    <w:rsid w:val="004C7F4E"/>
    <w:rsid w:val="004D5E22"/>
    <w:rsid w:val="004D74E0"/>
    <w:rsid w:val="004E68DF"/>
    <w:rsid w:val="004E7AF4"/>
    <w:rsid w:val="005002D9"/>
    <w:rsid w:val="00505358"/>
    <w:rsid w:val="00505C4F"/>
    <w:rsid w:val="005076E3"/>
    <w:rsid w:val="005142B9"/>
    <w:rsid w:val="00520B38"/>
    <w:rsid w:val="00520F64"/>
    <w:rsid w:val="00523C2F"/>
    <w:rsid w:val="00524EE4"/>
    <w:rsid w:val="00525C39"/>
    <w:rsid w:val="00527235"/>
    <w:rsid w:val="0053109B"/>
    <w:rsid w:val="005334BC"/>
    <w:rsid w:val="00535D6D"/>
    <w:rsid w:val="0053675A"/>
    <w:rsid w:val="005405FD"/>
    <w:rsid w:val="00541C1B"/>
    <w:rsid w:val="00550E60"/>
    <w:rsid w:val="00551361"/>
    <w:rsid w:val="00556BB8"/>
    <w:rsid w:val="005574F2"/>
    <w:rsid w:val="005605D9"/>
    <w:rsid w:val="0056424A"/>
    <w:rsid w:val="00564AED"/>
    <w:rsid w:val="005702EB"/>
    <w:rsid w:val="005732E3"/>
    <w:rsid w:val="00585DE0"/>
    <w:rsid w:val="00591B89"/>
    <w:rsid w:val="005A03E7"/>
    <w:rsid w:val="005B49A8"/>
    <w:rsid w:val="005C0930"/>
    <w:rsid w:val="005D798B"/>
    <w:rsid w:val="005E2148"/>
    <w:rsid w:val="005F7B43"/>
    <w:rsid w:val="00610816"/>
    <w:rsid w:val="0062291F"/>
    <w:rsid w:val="00622986"/>
    <w:rsid w:val="00623F26"/>
    <w:rsid w:val="00630301"/>
    <w:rsid w:val="00636D54"/>
    <w:rsid w:val="00644596"/>
    <w:rsid w:val="00646BFE"/>
    <w:rsid w:val="00653A36"/>
    <w:rsid w:val="006632DB"/>
    <w:rsid w:val="00664F99"/>
    <w:rsid w:val="0066518A"/>
    <w:rsid w:val="00671E85"/>
    <w:rsid w:val="006814C6"/>
    <w:rsid w:val="00682BA2"/>
    <w:rsid w:val="00693559"/>
    <w:rsid w:val="006948E2"/>
    <w:rsid w:val="006956C8"/>
    <w:rsid w:val="00697B41"/>
    <w:rsid w:val="006A0790"/>
    <w:rsid w:val="006A2C25"/>
    <w:rsid w:val="006A6EAC"/>
    <w:rsid w:val="006B0D2D"/>
    <w:rsid w:val="006B2559"/>
    <w:rsid w:val="006C1EBE"/>
    <w:rsid w:val="006C23DD"/>
    <w:rsid w:val="006C6EF4"/>
    <w:rsid w:val="006E14BB"/>
    <w:rsid w:val="006E2A76"/>
    <w:rsid w:val="006F0073"/>
    <w:rsid w:val="006F18A2"/>
    <w:rsid w:val="006F4DF3"/>
    <w:rsid w:val="006F6360"/>
    <w:rsid w:val="00720774"/>
    <w:rsid w:val="007251C7"/>
    <w:rsid w:val="007268EB"/>
    <w:rsid w:val="00736326"/>
    <w:rsid w:val="00742563"/>
    <w:rsid w:val="007623D6"/>
    <w:rsid w:val="007677E8"/>
    <w:rsid w:val="00767A69"/>
    <w:rsid w:val="00770116"/>
    <w:rsid w:val="00772DA2"/>
    <w:rsid w:val="00774596"/>
    <w:rsid w:val="007765A9"/>
    <w:rsid w:val="00784A28"/>
    <w:rsid w:val="00787017"/>
    <w:rsid w:val="0079314E"/>
    <w:rsid w:val="00795B32"/>
    <w:rsid w:val="007A37D8"/>
    <w:rsid w:val="007A4027"/>
    <w:rsid w:val="007A716E"/>
    <w:rsid w:val="007A77F2"/>
    <w:rsid w:val="007B474F"/>
    <w:rsid w:val="007B5C54"/>
    <w:rsid w:val="007C3CBC"/>
    <w:rsid w:val="007C7E98"/>
    <w:rsid w:val="007D360C"/>
    <w:rsid w:val="007E18E2"/>
    <w:rsid w:val="007E315B"/>
    <w:rsid w:val="007F0B02"/>
    <w:rsid w:val="007F282F"/>
    <w:rsid w:val="008011A6"/>
    <w:rsid w:val="008037DC"/>
    <w:rsid w:val="00823D26"/>
    <w:rsid w:val="00845A7E"/>
    <w:rsid w:val="00853148"/>
    <w:rsid w:val="0085590A"/>
    <w:rsid w:val="008564A8"/>
    <w:rsid w:val="00863C80"/>
    <w:rsid w:val="00866736"/>
    <w:rsid w:val="00875B2F"/>
    <w:rsid w:val="008814F6"/>
    <w:rsid w:val="008A6B66"/>
    <w:rsid w:val="008B53E8"/>
    <w:rsid w:val="008C0D39"/>
    <w:rsid w:val="008C1B30"/>
    <w:rsid w:val="008C726C"/>
    <w:rsid w:val="008D7947"/>
    <w:rsid w:val="008E4A67"/>
    <w:rsid w:val="008E789E"/>
    <w:rsid w:val="0091131E"/>
    <w:rsid w:val="00916BD6"/>
    <w:rsid w:val="00921EE1"/>
    <w:rsid w:val="009234C6"/>
    <w:rsid w:val="00930C06"/>
    <w:rsid w:val="0093243D"/>
    <w:rsid w:val="00934C57"/>
    <w:rsid w:val="00954559"/>
    <w:rsid w:val="009629D3"/>
    <w:rsid w:val="00962C39"/>
    <w:rsid w:val="00971FAA"/>
    <w:rsid w:val="0097720F"/>
    <w:rsid w:val="00984018"/>
    <w:rsid w:val="00985CA4"/>
    <w:rsid w:val="009864CF"/>
    <w:rsid w:val="00996253"/>
    <w:rsid w:val="009B3180"/>
    <w:rsid w:val="009D1E2B"/>
    <w:rsid w:val="009D2A79"/>
    <w:rsid w:val="009D5F5E"/>
    <w:rsid w:val="009E0D1B"/>
    <w:rsid w:val="009E1865"/>
    <w:rsid w:val="009E51C4"/>
    <w:rsid w:val="009E5BAC"/>
    <w:rsid w:val="009F1069"/>
    <w:rsid w:val="009F21D0"/>
    <w:rsid w:val="009F789F"/>
    <w:rsid w:val="00A050FD"/>
    <w:rsid w:val="00A0544E"/>
    <w:rsid w:val="00A06CE1"/>
    <w:rsid w:val="00A23F8F"/>
    <w:rsid w:val="00A25B05"/>
    <w:rsid w:val="00A327D3"/>
    <w:rsid w:val="00A335A5"/>
    <w:rsid w:val="00A338C3"/>
    <w:rsid w:val="00A35154"/>
    <w:rsid w:val="00A47AD2"/>
    <w:rsid w:val="00A47CE4"/>
    <w:rsid w:val="00A531CC"/>
    <w:rsid w:val="00A66460"/>
    <w:rsid w:val="00A669DE"/>
    <w:rsid w:val="00A72C3E"/>
    <w:rsid w:val="00A93445"/>
    <w:rsid w:val="00AA6058"/>
    <w:rsid w:val="00AB51B4"/>
    <w:rsid w:val="00AC4085"/>
    <w:rsid w:val="00AD32F8"/>
    <w:rsid w:val="00AE5C38"/>
    <w:rsid w:val="00AF213B"/>
    <w:rsid w:val="00B05256"/>
    <w:rsid w:val="00B066F5"/>
    <w:rsid w:val="00B06BD4"/>
    <w:rsid w:val="00B10FC5"/>
    <w:rsid w:val="00B145B6"/>
    <w:rsid w:val="00B44E58"/>
    <w:rsid w:val="00B55AFD"/>
    <w:rsid w:val="00B55E76"/>
    <w:rsid w:val="00B60472"/>
    <w:rsid w:val="00B76F73"/>
    <w:rsid w:val="00B81C3C"/>
    <w:rsid w:val="00B82EFC"/>
    <w:rsid w:val="00B875DA"/>
    <w:rsid w:val="00B87E55"/>
    <w:rsid w:val="00B95001"/>
    <w:rsid w:val="00BA2253"/>
    <w:rsid w:val="00BB023D"/>
    <w:rsid w:val="00BB2639"/>
    <w:rsid w:val="00BB2756"/>
    <w:rsid w:val="00BB3F4E"/>
    <w:rsid w:val="00BB7566"/>
    <w:rsid w:val="00BC545B"/>
    <w:rsid w:val="00BC7195"/>
    <w:rsid w:val="00BD49B4"/>
    <w:rsid w:val="00BD6879"/>
    <w:rsid w:val="00BE3204"/>
    <w:rsid w:val="00BF0128"/>
    <w:rsid w:val="00BF65E6"/>
    <w:rsid w:val="00BF7F00"/>
    <w:rsid w:val="00C1160C"/>
    <w:rsid w:val="00C26978"/>
    <w:rsid w:val="00C37256"/>
    <w:rsid w:val="00C54066"/>
    <w:rsid w:val="00C5491B"/>
    <w:rsid w:val="00C5557F"/>
    <w:rsid w:val="00C61213"/>
    <w:rsid w:val="00C620FD"/>
    <w:rsid w:val="00C62304"/>
    <w:rsid w:val="00C62EA9"/>
    <w:rsid w:val="00C665AA"/>
    <w:rsid w:val="00C66EC5"/>
    <w:rsid w:val="00C71549"/>
    <w:rsid w:val="00C73108"/>
    <w:rsid w:val="00C77B7B"/>
    <w:rsid w:val="00C80539"/>
    <w:rsid w:val="00C82678"/>
    <w:rsid w:val="00C8437F"/>
    <w:rsid w:val="00C8701F"/>
    <w:rsid w:val="00CA3178"/>
    <w:rsid w:val="00CB14E9"/>
    <w:rsid w:val="00CB22E7"/>
    <w:rsid w:val="00CC0139"/>
    <w:rsid w:val="00CC183D"/>
    <w:rsid w:val="00CC1B08"/>
    <w:rsid w:val="00CE1EA9"/>
    <w:rsid w:val="00CE2BD2"/>
    <w:rsid w:val="00CE6147"/>
    <w:rsid w:val="00CF672C"/>
    <w:rsid w:val="00D01A85"/>
    <w:rsid w:val="00D07ED2"/>
    <w:rsid w:val="00D12CAE"/>
    <w:rsid w:val="00D20F4F"/>
    <w:rsid w:val="00D231AF"/>
    <w:rsid w:val="00D232A6"/>
    <w:rsid w:val="00D24211"/>
    <w:rsid w:val="00D26ABF"/>
    <w:rsid w:val="00D34C0B"/>
    <w:rsid w:val="00D45559"/>
    <w:rsid w:val="00D54311"/>
    <w:rsid w:val="00D54F09"/>
    <w:rsid w:val="00D55C24"/>
    <w:rsid w:val="00D63224"/>
    <w:rsid w:val="00D84C30"/>
    <w:rsid w:val="00D85008"/>
    <w:rsid w:val="00D93C47"/>
    <w:rsid w:val="00D95E69"/>
    <w:rsid w:val="00D97DA3"/>
    <w:rsid w:val="00DA45C5"/>
    <w:rsid w:val="00DA7FF4"/>
    <w:rsid w:val="00DB0CDA"/>
    <w:rsid w:val="00DB3064"/>
    <w:rsid w:val="00DC737E"/>
    <w:rsid w:val="00DD3AE4"/>
    <w:rsid w:val="00DE2363"/>
    <w:rsid w:val="00DE43A0"/>
    <w:rsid w:val="00DF0E31"/>
    <w:rsid w:val="00DF1032"/>
    <w:rsid w:val="00DF7E1C"/>
    <w:rsid w:val="00E04B47"/>
    <w:rsid w:val="00E04D68"/>
    <w:rsid w:val="00E07579"/>
    <w:rsid w:val="00E07BA0"/>
    <w:rsid w:val="00E13869"/>
    <w:rsid w:val="00E139A1"/>
    <w:rsid w:val="00E17533"/>
    <w:rsid w:val="00E248FD"/>
    <w:rsid w:val="00E31B89"/>
    <w:rsid w:val="00E35956"/>
    <w:rsid w:val="00E405A6"/>
    <w:rsid w:val="00E46641"/>
    <w:rsid w:val="00E46B63"/>
    <w:rsid w:val="00E46CAB"/>
    <w:rsid w:val="00E46E3C"/>
    <w:rsid w:val="00E56E24"/>
    <w:rsid w:val="00E5741A"/>
    <w:rsid w:val="00E603A2"/>
    <w:rsid w:val="00E825BE"/>
    <w:rsid w:val="00E868A2"/>
    <w:rsid w:val="00E90538"/>
    <w:rsid w:val="00E97491"/>
    <w:rsid w:val="00EA073D"/>
    <w:rsid w:val="00EA48B8"/>
    <w:rsid w:val="00EB0DAE"/>
    <w:rsid w:val="00EB47B7"/>
    <w:rsid w:val="00EC6EB2"/>
    <w:rsid w:val="00EC7549"/>
    <w:rsid w:val="00EE2419"/>
    <w:rsid w:val="00EE2B95"/>
    <w:rsid w:val="00EE7CD3"/>
    <w:rsid w:val="00EF592A"/>
    <w:rsid w:val="00EF7DC0"/>
    <w:rsid w:val="00F001B1"/>
    <w:rsid w:val="00F0650D"/>
    <w:rsid w:val="00F17193"/>
    <w:rsid w:val="00F33876"/>
    <w:rsid w:val="00F508F0"/>
    <w:rsid w:val="00F60704"/>
    <w:rsid w:val="00F62154"/>
    <w:rsid w:val="00F630C4"/>
    <w:rsid w:val="00F64B6C"/>
    <w:rsid w:val="00F77ADA"/>
    <w:rsid w:val="00F830AB"/>
    <w:rsid w:val="00F83F62"/>
    <w:rsid w:val="00F93291"/>
    <w:rsid w:val="00FA17E4"/>
    <w:rsid w:val="00FA24CE"/>
    <w:rsid w:val="00FB271C"/>
    <w:rsid w:val="00FB3EB5"/>
    <w:rsid w:val="00FB5B1F"/>
    <w:rsid w:val="00FC0DAA"/>
    <w:rsid w:val="00FC59B2"/>
    <w:rsid w:val="00FC68E2"/>
    <w:rsid w:val="00FD1948"/>
    <w:rsid w:val="00FE4682"/>
    <w:rsid w:val="00FE5E24"/>
    <w:rsid w:val="00FE6339"/>
    <w:rsid w:val="00FF241B"/>
    <w:rsid w:val="00FF273A"/>
    <w:rsid w:val="00FF59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11F26"/>
  <w15:docId w15:val="{842B63F3-44B1-4672-9F74-FAA0141C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qFormat/>
    <w:rsid w:val="00F17193"/>
    <w:pPr>
      <w:spacing w:line="276" w:lineRule="auto"/>
      <w:jc w:val="both"/>
    </w:pPr>
    <w:rPr>
      <w:rFonts w:ascii="Arial" w:hAnsi="Arial"/>
      <w:color w:val="000000" w:themeColor="text1"/>
      <w:lang w:eastAsia="fr-FR"/>
    </w:rPr>
  </w:style>
  <w:style w:type="paragraph" w:styleId="Titre1">
    <w:name w:val="heading 1"/>
    <w:basedOn w:val="Normal"/>
    <w:next w:val="Normal"/>
    <w:link w:val="Titre1Car"/>
    <w:uiPriority w:val="9"/>
    <w:qFormat/>
    <w:rsid w:val="001F5A29"/>
    <w:pPr>
      <w:keepNext/>
      <w:keepLines/>
      <w:numPr>
        <w:numId w:val="6"/>
      </w:numPr>
      <w:spacing w:before="600" w:after="360" w:line="240" w:lineRule="auto"/>
      <w:jc w:val="left"/>
      <w:outlineLvl w:val="0"/>
    </w:pPr>
    <w:rPr>
      <w:rFonts w:ascii="Arial Black" w:eastAsiaTheme="majorEastAsia" w:hAnsi="Arial Black" w:cstheme="majorBidi"/>
      <w:b/>
      <w:color w:val="1C3354"/>
      <w:sz w:val="52"/>
      <w:szCs w:val="28"/>
    </w:rPr>
  </w:style>
  <w:style w:type="paragraph" w:styleId="Titre2">
    <w:name w:val="heading 2"/>
    <w:basedOn w:val="Normal"/>
    <w:next w:val="Normal"/>
    <w:link w:val="Titre2Car"/>
    <w:uiPriority w:val="9"/>
    <w:unhideWhenUsed/>
    <w:qFormat/>
    <w:rsid w:val="00F77ADA"/>
    <w:pPr>
      <w:keepNext/>
      <w:keepLines/>
      <w:numPr>
        <w:ilvl w:val="1"/>
        <w:numId w:val="6"/>
      </w:numPr>
      <w:spacing w:before="280" w:after="240"/>
      <w:outlineLvl w:val="1"/>
    </w:pPr>
    <w:rPr>
      <w:rFonts w:eastAsiaTheme="majorEastAsia" w:cstheme="majorBidi"/>
      <w:b/>
      <w:color w:val="5788A8"/>
      <w:sz w:val="40"/>
      <w:szCs w:val="26"/>
    </w:rPr>
  </w:style>
  <w:style w:type="paragraph" w:styleId="Titre3">
    <w:name w:val="heading 3"/>
    <w:aliases w:val="Sous titre"/>
    <w:basedOn w:val="Normal"/>
    <w:next w:val="Normal"/>
    <w:link w:val="Titre3Car"/>
    <w:uiPriority w:val="9"/>
    <w:unhideWhenUsed/>
    <w:qFormat/>
    <w:rsid w:val="00520F64"/>
    <w:pPr>
      <w:keepNext/>
      <w:keepLines/>
      <w:spacing w:before="160" w:after="120"/>
      <w:outlineLvl w:val="2"/>
    </w:pPr>
    <w:rPr>
      <w:rFonts w:eastAsiaTheme="majorEastAsia" w:cstheme="majorBidi"/>
      <w:b/>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128"/>
    <w:pPr>
      <w:tabs>
        <w:tab w:val="center" w:pos="4536"/>
        <w:tab w:val="right" w:pos="9072"/>
      </w:tabs>
    </w:pPr>
  </w:style>
  <w:style w:type="character" w:customStyle="1" w:styleId="En-tteCar">
    <w:name w:val="En-tête Car"/>
    <w:basedOn w:val="Policepardfaut"/>
    <w:link w:val="En-tte"/>
    <w:uiPriority w:val="99"/>
    <w:rsid w:val="00BF0128"/>
  </w:style>
  <w:style w:type="paragraph" w:styleId="Pieddepage">
    <w:name w:val="footer"/>
    <w:basedOn w:val="Normal"/>
    <w:link w:val="PieddepageCar"/>
    <w:uiPriority w:val="99"/>
    <w:unhideWhenUsed/>
    <w:rsid w:val="00BF0128"/>
    <w:pPr>
      <w:tabs>
        <w:tab w:val="center" w:pos="4536"/>
        <w:tab w:val="right" w:pos="9072"/>
      </w:tabs>
    </w:pPr>
  </w:style>
  <w:style w:type="character" w:customStyle="1" w:styleId="PieddepageCar">
    <w:name w:val="Pied de page Car"/>
    <w:basedOn w:val="Policepardfaut"/>
    <w:link w:val="Pieddepage"/>
    <w:uiPriority w:val="99"/>
    <w:rsid w:val="00BF0128"/>
  </w:style>
  <w:style w:type="table" w:styleId="Grilledutableau">
    <w:name w:val="Table Grid"/>
    <w:basedOn w:val="TableauNormal"/>
    <w:uiPriority w:val="39"/>
    <w:rsid w:val="00BF0128"/>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4256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742563"/>
    <w:rPr>
      <w:rFonts w:eastAsiaTheme="minorEastAsia"/>
      <w:sz w:val="22"/>
      <w:szCs w:val="22"/>
      <w:lang w:val="en-US" w:eastAsia="zh-CN"/>
    </w:rPr>
  </w:style>
  <w:style w:type="character" w:customStyle="1" w:styleId="Titre3Car">
    <w:name w:val="Titre 3 Car"/>
    <w:aliases w:val="Sous titre Car"/>
    <w:basedOn w:val="Policepardfaut"/>
    <w:link w:val="Titre3"/>
    <w:uiPriority w:val="9"/>
    <w:rsid w:val="00520F64"/>
    <w:rPr>
      <w:rFonts w:ascii="Arial" w:eastAsiaTheme="majorEastAsia" w:hAnsi="Arial" w:cstheme="majorBidi"/>
      <w:b/>
      <w:color w:val="1F3763" w:themeColor="accent1" w:themeShade="7F"/>
    </w:rPr>
  </w:style>
  <w:style w:type="character" w:customStyle="1" w:styleId="Titre1Car">
    <w:name w:val="Titre 1 Car"/>
    <w:basedOn w:val="Policepardfaut"/>
    <w:link w:val="Titre1"/>
    <w:uiPriority w:val="9"/>
    <w:rsid w:val="001F5A29"/>
    <w:rPr>
      <w:rFonts w:ascii="Arial Black" w:eastAsiaTheme="majorEastAsia" w:hAnsi="Arial Black" w:cstheme="majorBidi"/>
      <w:b/>
      <w:color w:val="1C3354"/>
      <w:sz w:val="52"/>
      <w:szCs w:val="28"/>
      <w:lang w:eastAsia="fr-FR"/>
    </w:rPr>
  </w:style>
  <w:style w:type="character" w:customStyle="1" w:styleId="Titre2Car">
    <w:name w:val="Titre 2 Car"/>
    <w:basedOn w:val="Policepardfaut"/>
    <w:link w:val="Titre2"/>
    <w:uiPriority w:val="9"/>
    <w:rsid w:val="00F77ADA"/>
    <w:rPr>
      <w:rFonts w:ascii="Arial" w:eastAsiaTheme="majorEastAsia" w:hAnsi="Arial" w:cstheme="majorBidi"/>
      <w:b/>
      <w:color w:val="5788A8"/>
      <w:sz w:val="40"/>
      <w:szCs w:val="26"/>
    </w:rPr>
  </w:style>
  <w:style w:type="paragraph" w:customStyle="1" w:styleId="Paragraphestandard">
    <w:name w:val="[Paragraphe standard]"/>
    <w:basedOn w:val="Normal"/>
    <w:uiPriority w:val="99"/>
    <w:rsid w:val="00366A0D"/>
    <w:pPr>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A47CE4"/>
    <w:pPr>
      <w:ind w:left="720"/>
      <w:contextualSpacing/>
    </w:pPr>
  </w:style>
  <w:style w:type="paragraph" w:styleId="Textedebulles">
    <w:name w:val="Balloon Text"/>
    <w:basedOn w:val="Normal"/>
    <w:link w:val="TextedebullesCar"/>
    <w:uiPriority w:val="99"/>
    <w:semiHidden/>
    <w:unhideWhenUsed/>
    <w:rsid w:val="0085314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148"/>
    <w:rPr>
      <w:rFonts w:ascii="Segoe UI" w:hAnsi="Segoe UI" w:cs="Segoe UI"/>
      <w:color w:val="000000" w:themeColor="text1"/>
      <w:sz w:val="18"/>
      <w:szCs w:val="18"/>
      <w:lang w:eastAsia="fr-FR"/>
    </w:rPr>
  </w:style>
  <w:style w:type="paragraph" w:styleId="En-ttedetabledesmatires">
    <w:name w:val="TOC Heading"/>
    <w:basedOn w:val="Titre1"/>
    <w:next w:val="Normal"/>
    <w:uiPriority w:val="39"/>
    <w:unhideWhenUsed/>
    <w:qFormat/>
    <w:rsid w:val="00021AFF"/>
    <w:pPr>
      <w:numPr>
        <w:numId w:val="0"/>
      </w:numPr>
      <w:spacing w:before="240" w:after="0" w:line="259" w:lineRule="auto"/>
      <w:outlineLvl w:val="9"/>
    </w:pPr>
    <w:rPr>
      <w:rFonts w:asciiTheme="majorHAnsi" w:hAnsiTheme="majorHAnsi"/>
      <w:b w:val="0"/>
      <w:color w:val="2F5496" w:themeColor="accent1" w:themeShade="BF"/>
      <w:sz w:val="32"/>
    </w:rPr>
  </w:style>
  <w:style w:type="paragraph" w:styleId="TM1">
    <w:name w:val="toc 1"/>
    <w:basedOn w:val="Normal"/>
    <w:next w:val="Normal"/>
    <w:autoRedefine/>
    <w:uiPriority w:val="39"/>
    <w:unhideWhenUsed/>
    <w:rsid w:val="00D231AF"/>
    <w:pPr>
      <w:tabs>
        <w:tab w:val="right" w:leader="dot" w:pos="9056"/>
      </w:tabs>
      <w:spacing w:after="100"/>
    </w:pPr>
  </w:style>
  <w:style w:type="paragraph" w:styleId="TM2">
    <w:name w:val="toc 2"/>
    <w:basedOn w:val="Normal"/>
    <w:next w:val="Normal"/>
    <w:autoRedefine/>
    <w:uiPriority w:val="39"/>
    <w:unhideWhenUsed/>
    <w:rsid w:val="00021AFF"/>
    <w:pPr>
      <w:spacing w:after="100"/>
      <w:ind w:left="240"/>
    </w:pPr>
  </w:style>
  <w:style w:type="character" w:styleId="Lienhypertexte">
    <w:name w:val="Hyperlink"/>
    <w:basedOn w:val="Policepardfaut"/>
    <w:uiPriority w:val="99"/>
    <w:unhideWhenUsed/>
    <w:rsid w:val="00021AFF"/>
    <w:rPr>
      <w:color w:val="0563C1" w:themeColor="hyperlink"/>
      <w:u w:val="single"/>
    </w:rPr>
  </w:style>
  <w:style w:type="paragraph" w:styleId="Notedebasdepage">
    <w:name w:val="footnote text"/>
    <w:basedOn w:val="Normal"/>
    <w:link w:val="NotedebasdepageCar"/>
    <w:uiPriority w:val="99"/>
    <w:unhideWhenUsed/>
    <w:qFormat/>
    <w:rsid w:val="00021AFF"/>
    <w:pPr>
      <w:spacing w:line="240" w:lineRule="auto"/>
      <w:ind w:left="284" w:hanging="284"/>
    </w:pPr>
    <w:rPr>
      <w:rFonts w:ascii="Calibri" w:eastAsiaTheme="minorEastAsia" w:hAnsi="Calibri" w:cs="Calibri"/>
      <w:color w:val="auto"/>
      <w:sz w:val="20"/>
      <w:szCs w:val="20"/>
    </w:rPr>
  </w:style>
  <w:style w:type="character" w:customStyle="1" w:styleId="NotedebasdepageCar">
    <w:name w:val="Note de bas de page Car"/>
    <w:basedOn w:val="Policepardfaut"/>
    <w:link w:val="Notedebasdepage"/>
    <w:uiPriority w:val="99"/>
    <w:rsid w:val="00021AFF"/>
    <w:rPr>
      <w:rFonts w:ascii="Calibri" w:eastAsiaTheme="minorEastAsia" w:hAnsi="Calibri" w:cs="Calibri"/>
      <w:sz w:val="20"/>
      <w:szCs w:val="20"/>
      <w:lang w:eastAsia="fr-FR"/>
    </w:rPr>
  </w:style>
  <w:style w:type="character" w:styleId="Appelnotedebasdep">
    <w:name w:val="footnote reference"/>
    <w:basedOn w:val="Policepardfaut"/>
    <w:uiPriority w:val="99"/>
    <w:semiHidden/>
    <w:unhideWhenUsed/>
    <w:rsid w:val="00021AFF"/>
    <w:rPr>
      <w:vertAlign w:val="superscript"/>
    </w:rPr>
  </w:style>
  <w:style w:type="character" w:styleId="Marquedecommentaire">
    <w:name w:val="annotation reference"/>
    <w:basedOn w:val="Policepardfaut"/>
    <w:uiPriority w:val="99"/>
    <w:semiHidden/>
    <w:unhideWhenUsed/>
    <w:rsid w:val="00610816"/>
    <w:rPr>
      <w:sz w:val="16"/>
      <w:szCs w:val="16"/>
    </w:rPr>
  </w:style>
  <w:style w:type="paragraph" w:styleId="Commentaire">
    <w:name w:val="annotation text"/>
    <w:basedOn w:val="Normal"/>
    <w:link w:val="CommentaireCar"/>
    <w:uiPriority w:val="99"/>
    <w:unhideWhenUsed/>
    <w:rsid w:val="00610816"/>
    <w:pPr>
      <w:spacing w:line="240" w:lineRule="auto"/>
    </w:pPr>
    <w:rPr>
      <w:sz w:val="20"/>
      <w:szCs w:val="20"/>
    </w:rPr>
  </w:style>
  <w:style w:type="character" w:customStyle="1" w:styleId="CommentaireCar">
    <w:name w:val="Commentaire Car"/>
    <w:basedOn w:val="Policepardfaut"/>
    <w:link w:val="Commentaire"/>
    <w:uiPriority w:val="99"/>
    <w:rsid w:val="00610816"/>
    <w:rPr>
      <w:rFonts w:ascii="Arial" w:hAnsi="Arial"/>
      <w:color w:val="000000" w:themeColor="text1"/>
      <w:sz w:val="20"/>
      <w:szCs w:val="20"/>
      <w:lang w:eastAsia="fr-FR"/>
    </w:rPr>
  </w:style>
  <w:style w:type="paragraph" w:styleId="Objetducommentaire">
    <w:name w:val="annotation subject"/>
    <w:basedOn w:val="Commentaire"/>
    <w:next w:val="Commentaire"/>
    <w:link w:val="ObjetducommentaireCar"/>
    <w:uiPriority w:val="99"/>
    <w:semiHidden/>
    <w:unhideWhenUsed/>
    <w:rsid w:val="00610816"/>
    <w:rPr>
      <w:b/>
      <w:bCs/>
    </w:rPr>
  </w:style>
  <w:style w:type="character" w:customStyle="1" w:styleId="ObjetducommentaireCar">
    <w:name w:val="Objet du commentaire Car"/>
    <w:basedOn w:val="CommentaireCar"/>
    <w:link w:val="Objetducommentaire"/>
    <w:uiPriority w:val="99"/>
    <w:semiHidden/>
    <w:rsid w:val="00610816"/>
    <w:rPr>
      <w:rFonts w:ascii="Arial" w:hAnsi="Arial"/>
      <w:b/>
      <w:bCs/>
      <w:color w:val="000000" w:themeColor="text1"/>
      <w:sz w:val="20"/>
      <w:szCs w:val="20"/>
      <w:lang w:eastAsia="fr-FR"/>
    </w:rPr>
  </w:style>
  <w:style w:type="paragraph" w:styleId="Rvision">
    <w:name w:val="Revision"/>
    <w:hidden/>
    <w:uiPriority w:val="99"/>
    <w:semiHidden/>
    <w:rsid w:val="003F491F"/>
    <w:rPr>
      <w:rFonts w:ascii="Arial" w:hAnsi="Arial"/>
      <w:color w:val="000000" w:themeColor="text1"/>
      <w:lang w:eastAsia="fr-FR"/>
    </w:rPr>
  </w:style>
  <w:style w:type="character" w:styleId="Lienhypertextesuivivisit">
    <w:name w:val="FollowedHyperlink"/>
    <w:basedOn w:val="Policepardfaut"/>
    <w:uiPriority w:val="99"/>
    <w:semiHidden/>
    <w:unhideWhenUsed/>
    <w:rsid w:val="008A6B66"/>
    <w:rPr>
      <w:color w:val="954F72" w:themeColor="followedHyperlink"/>
      <w:u w:val="single"/>
    </w:rPr>
  </w:style>
  <w:style w:type="character" w:customStyle="1" w:styleId="acopre">
    <w:name w:val="acopre"/>
    <w:basedOn w:val="Policepardfaut"/>
    <w:rsid w:val="00B06BD4"/>
  </w:style>
  <w:style w:type="paragraph" w:customStyle="1" w:styleId="xmsonormal">
    <w:name w:val="x_msonormal"/>
    <w:basedOn w:val="Normal"/>
    <w:rsid w:val="008E789E"/>
    <w:pPr>
      <w:spacing w:line="240" w:lineRule="auto"/>
      <w:jc w:val="left"/>
    </w:pPr>
    <w:rPr>
      <w:rFonts w:ascii="Times New Roman" w:hAnsi="Times New Roman" w:cs="Times New Roman"/>
      <w:color w:val="auto"/>
    </w:rPr>
  </w:style>
  <w:style w:type="paragraph" w:customStyle="1" w:styleId="Tetepara">
    <w:name w:val="Tete_para"/>
    <w:basedOn w:val="Normal"/>
    <w:next w:val="Normal"/>
    <w:link w:val="TeteparaCar"/>
    <w:uiPriority w:val="2"/>
    <w:qFormat/>
    <w:rsid w:val="00BB2756"/>
    <w:pPr>
      <w:keepNext/>
      <w:spacing w:before="120"/>
    </w:pPr>
    <w:rPr>
      <w:rFonts w:eastAsia="Times New Roman" w:cs="Times New Roman"/>
      <w:b/>
      <w:color w:val="444444"/>
      <w:sz w:val="20"/>
      <w:u w:val="single"/>
    </w:rPr>
  </w:style>
  <w:style w:type="character" w:customStyle="1" w:styleId="TeteparaCar">
    <w:name w:val="Tete_para Car"/>
    <w:basedOn w:val="Titre3Car"/>
    <w:link w:val="Tetepara"/>
    <w:uiPriority w:val="2"/>
    <w:rsid w:val="00BB2756"/>
    <w:rPr>
      <w:rFonts w:ascii="Arial" w:eastAsia="Times New Roman" w:hAnsi="Arial" w:cs="Times New Roman"/>
      <w:b/>
      <w:color w:val="444444"/>
      <w:sz w:val="20"/>
      <w:u w:val="single"/>
      <w:lang w:eastAsia="fr-FR"/>
    </w:rPr>
  </w:style>
  <w:style w:type="table" w:styleId="TableauGrille1Clair-Accentuation5">
    <w:name w:val="Grid Table 1 Light Accent 5"/>
    <w:basedOn w:val="TableauNormal"/>
    <w:uiPriority w:val="46"/>
    <w:rsid w:val="00CC183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1187">
      <w:bodyDiv w:val="1"/>
      <w:marLeft w:val="0"/>
      <w:marRight w:val="0"/>
      <w:marTop w:val="0"/>
      <w:marBottom w:val="0"/>
      <w:divBdr>
        <w:top w:val="none" w:sz="0" w:space="0" w:color="auto"/>
        <w:left w:val="none" w:sz="0" w:space="0" w:color="auto"/>
        <w:bottom w:val="none" w:sz="0" w:space="0" w:color="auto"/>
        <w:right w:val="none" w:sz="0" w:space="0" w:color="auto"/>
      </w:divBdr>
    </w:div>
    <w:div w:id="1044136495">
      <w:bodyDiv w:val="1"/>
      <w:marLeft w:val="0"/>
      <w:marRight w:val="0"/>
      <w:marTop w:val="0"/>
      <w:marBottom w:val="0"/>
      <w:divBdr>
        <w:top w:val="none" w:sz="0" w:space="0" w:color="auto"/>
        <w:left w:val="none" w:sz="0" w:space="0" w:color="auto"/>
        <w:bottom w:val="none" w:sz="0" w:space="0" w:color="auto"/>
        <w:right w:val="none" w:sz="0" w:space="0" w:color="auto"/>
      </w:divBdr>
    </w:div>
    <w:div w:id="1053502756">
      <w:bodyDiv w:val="1"/>
      <w:marLeft w:val="0"/>
      <w:marRight w:val="0"/>
      <w:marTop w:val="0"/>
      <w:marBottom w:val="0"/>
      <w:divBdr>
        <w:top w:val="none" w:sz="0" w:space="0" w:color="auto"/>
        <w:left w:val="none" w:sz="0" w:space="0" w:color="auto"/>
        <w:bottom w:val="none" w:sz="0" w:space="0" w:color="auto"/>
        <w:right w:val="none" w:sz="0" w:space="0" w:color="auto"/>
      </w:divBdr>
    </w:div>
    <w:div w:id="1315257288">
      <w:bodyDiv w:val="1"/>
      <w:marLeft w:val="0"/>
      <w:marRight w:val="0"/>
      <w:marTop w:val="0"/>
      <w:marBottom w:val="0"/>
      <w:divBdr>
        <w:top w:val="none" w:sz="0" w:space="0" w:color="auto"/>
        <w:left w:val="none" w:sz="0" w:space="0" w:color="auto"/>
        <w:bottom w:val="none" w:sz="0" w:space="0" w:color="auto"/>
        <w:right w:val="none" w:sz="0" w:space="0" w:color="auto"/>
      </w:divBdr>
      <w:divsChild>
        <w:div w:id="1669866631">
          <w:marLeft w:val="0"/>
          <w:marRight w:val="0"/>
          <w:marTop w:val="0"/>
          <w:marBottom w:val="0"/>
          <w:divBdr>
            <w:top w:val="none" w:sz="0" w:space="0" w:color="auto"/>
            <w:left w:val="none" w:sz="0" w:space="0" w:color="auto"/>
            <w:bottom w:val="none" w:sz="0" w:space="0" w:color="auto"/>
            <w:right w:val="none" w:sz="0" w:space="0" w:color="auto"/>
          </w:divBdr>
        </w:div>
        <w:div w:id="1399941096">
          <w:marLeft w:val="0"/>
          <w:marRight w:val="0"/>
          <w:marTop w:val="0"/>
          <w:marBottom w:val="0"/>
          <w:divBdr>
            <w:top w:val="none" w:sz="0" w:space="0" w:color="auto"/>
            <w:left w:val="none" w:sz="0" w:space="0" w:color="auto"/>
            <w:bottom w:val="none" w:sz="0" w:space="0" w:color="auto"/>
            <w:right w:val="none" w:sz="0" w:space="0" w:color="auto"/>
          </w:divBdr>
        </w:div>
        <w:div w:id="1613171089">
          <w:marLeft w:val="0"/>
          <w:marRight w:val="0"/>
          <w:marTop w:val="0"/>
          <w:marBottom w:val="0"/>
          <w:divBdr>
            <w:top w:val="none" w:sz="0" w:space="0" w:color="auto"/>
            <w:left w:val="none" w:sz="0" w:space="0" w:color="auto"/>
            <w:bottom w:val="none" w:sz="0" w:space="0" w:color="auto"/>
            <w:right w:val="none" w:sz="0" w:space="0" w:color="auto"/>
          </w:divBdr>
        </w:div>
        <w:div w:id="245070965">
          <w:marLeft w:val="0"/>
          <w:marRight w:val="0"/>
          <w:marTop w:val="0"/>
          <w:marBottom w:val="0"/>
          <w:divBdr>
            <w:top w:val="none" w:sz="0" w:space="0" w:color="auto"/>
            <w:left w:val="none" w:sz="0" w:space="0" w:color="auto"/>
            <w:bottom w:val="none" w:sz="0" w:space="0" w:color="auto"/>
            <w:right w:val="none" w:sz="0" w:space="0" w:color="auto"/>
          </w:divBdr>
        </w:div>
      </w:divsChild>
    </w:div>
    <w:div w:id="1543128937">
      <w:bodyDiv w:val="1"/>
      <w:marLeft w:val="0"/>
      <w:marRight w:val="0"/>
      <w:marTop w:val="0"/>
      <w:marBottom w:val="0"/>
      <w:divBdr>
        <w:top w:val="none" w:sz="0" w:space="0" w:color="auto"/>
        <w:left w:val="none" w:sz="0" w:space="0" w:color="auto"/>
        <w:bottom w:val="none" w:sz="0" w:space="0" w:color="auto"/>
        <w:right w:val="none" w:sz="0" w:space="0" w:color="auto"/>
      </w:divBdr>
      <w:divsChild>
        <w:div w:id="2141260322">
          <w:marLeft w:val="0"/>
          <w:marRight w:val="0"/>
          <w:marTop w:val="0"/>
          <w:marBottom w:val="0"/>
          <w:divBdr>
            <w:top w:val="none" w:sz="0" w:space="0" w:color="auto"/>
            <w:left w:val="none" w:sz="0" w:space="0" w:color="auto"/>
            <w:bottom w:val="none" w:sz="0" w:space="0" w:color="auto"/>
            <w:right w:val="none" w:sz="0" w:space="0" w:color="auto"/>
          </w:divBdr>
        </w:div>
        <w:div w:id="994533361">
          <w:marLeft w:val="0"/>
          <w:marRight w:val="0"/>
          <w:marTop w:val="0"/>
          <w:marBottom w:val="0"/>
          <w:divBdr>
            <w:top w:val="none" w:sz="0" w:space="0" w:color="auto"/>
            <w:left w:val="none" w:sz="0" w:space="0" w:color="auto"/>
            <w:bottom w:val="none" w:sz="0" w:space="0" w:color="auto"/>
            <w:right w:val="none" w:sz="0" w:space="0" w:color="auto"/>
          </w:divBdr>
        </w:div>
        <w:div w:id="1202983281">
          <w:marLeft w:val="0"/>
          <w:marRight w:val="0"/>
          <w:marTop w:val="0"/>
          <w:marBottom w:val="0"/>
          <w:divBdr>
            <w:top w:val="none" w:sz="0" w:space="0" w:color="auto"/>
            <w:left w:val="none" w:sz="0" w:space="0" w:color="auto"/>
            <w:bottom w:val="none" w:sz="0" w:space="0" w:color="auto"/>
            <w:right w:val="none" w:sz="0" w:space="0" w:color="auto"/>
          </w:divBdr>
        </w:div>
        <w:div w:id="174615996">
          <w:marLeft w:val="0"/>
          <w:marRight w:val="0"/>
          <w:marTop w:val="0"/>
          <w:marBottom w:val="0"/>
          <w:divBdr>
            <w:top w:val="none" w:sz="0" w:space="0" w:color="auto"/>
            <w:left w:val="none" w:sz="0" w:space="0" w:color="auto"/>
            <w:bottom w:val="none" w:sz="0" w:space="0" w:color="auto"/>
            <w:right w:val="none" w:sz="0" w:space="0" w:color="auto"/>
          </w:divBdr>
        </w:div>
      </w:divsChild>
    </w:div>
    <w:div w:id="18640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nte.gouv.fr/sites/default/files/media_entity/documents/INS_Guide%20implementation_V2_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A6B44BEBA89489020969793F2C8CE" ma:contentTypeVersion="11" ma:contentTypeDescription="Create a new document." ma:contentTypeScope="" ma:versionID="976ad19a6bb197a63f4e1c9b95db701f">
  <xsd:schema xmlns:xsd="http://www.w3.org/2001/XMLSchema" xmlns:xs="http://www.w3.org/2001/XMLSchema" xmlns:p="http://schemas.microsoft.com/office/2006/metadata/properties" xmlns:ns3="16b070ab-8808-4d79-a8e7-ca0205c58a4d" xmlns:ns4="b0f88014-23c8-4a7a-9a0d-ef03c1acb06b" targetNamespace="http://schemas.microsoft.com/office/2006/metadata/properties" ma:root="true" ma:fieldsID="aca382050207de4f7b3dc7a47ac3a21f" ns3:_="" ns4:_="">
    <xsd:import namespace="16b070ab-8808-4d79-a8e7-ca0205c58a4d"/>
    <xsd:import namespace="b0f88014-23c8-4a7a-9a0d-ef03c1acb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070ab-8808-4d79-a8e7-ca0205c58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88014-23c8-4a7a-9a0d-ef03c1acb0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04152-850C-4DD0-A39E-A6FDAA6BF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B026A-C92B-4010-BB95-4E57410F9BC2}">
  <ds:schemaRefs>
    <ds:schemaRef ds:uri="http://schemas.openxmlformats.org/officeDocument/2006/bibliography"/>
  </ds:schemaRefs>
</ds:datastoreItem>
</file>

<file path=customXml/itemProps3.xml><?xml version="1.0" encoding="utf-8"?>
<ds:datastoreItem xmlns:ds="http://schemas.openxmlformats.org/officeDocument/2006/customXml" ds:itemID="{9577ABAA-303E-44C2-A9C5-1410F33E334F}">
  <ds:schemaRefs>
    <ds:schemaRef ds:uri="http://schemas.microsoft.com/sharepoint/v3/contenttype/forms"/>
  </ds:schemaRefs>
</ds:datastoreItem>
</file>

<file path=customXml/itemProps4.xml><?xml version="1.0" encoding="utf-8"?>
<ds:datastoreItem xmlns:ds="http://schemas.openxmlformats.org/officeDocument/2006/customXml" ds:itemID="{7FA83AD7-1D62-454B-B245-CAAFE41F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070ab-8808-4d79-a8e7-ca0205c58a4d"/>
    <ds:schemaRef ds:uri="b0f88014-23c8-4a7a-9a0d-ef03c1acb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918</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Identité Nationale de Santé</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Identité Nationale de Santé</dc:title>
  <dc:subject>Expérimentation CPAM – Questionnaire</dc:subject>
  <dc:creator>Frédéric Pouzet</dc:creator>
  <cp:keywords/>
  <dc:description/>
  <cp:lastModifiedBy>Margaux Buguet</cp:lastModifiedBy>
  <cp:revision>58</cp:revision>
  <cp:lastPrinted>2021-03-25T14:19:00Z</cp:lastPrinted>
  <dcterms:created xsi:type="dcterms:W3CDTF">2021-08-04T14:34:00Z</dcterms:created>
  <dcterms:modified xsi:type="dcterms:W3CDTF">2022-12-15T08:37:00Z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0x010100CA0A6B44BEBA89489020969793F2C8CE</vt:lpwstr>
  </property>
</Properties>
</file>