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1BDDC" w14:textId="400394AB" w:rsidR="007F3924" w:rsidRPr="00245C0F" w:rsidRDefault="007F3924" w:rsidP="4EFD2FA9">
      <w:pPr>
        <w:pStyle w:val="Corps"/>
        <w:rPr>
          <w:rFonts w:ascii="Raleway" w:hAnsi="Raleway"/>
        </w:rPr>
      </w:pPr>
    </w:p>
    <w:p w14:paraId="646B4214" w14:textId="77777777" w:rsidR="00452A61" w:rsidRPr="00245C0F" w:rsidRDefault="00452A61" w:rsidP="4EFD2FA9">
      <w:pPr>
        <w:pStyle w:val="Corps"/>
        <w:rPr>
          <w:rFonts w:ascii="Raleway" w:hAnsi="Raleway"/>
        </w:rPr>
      </w:pPr>
    </w:p>
    <w:p w14:paraId="16A966C0" w14:textId="35A42AE6" w:rsidR="00476647" w:rsidRPr="00245C0F" w:rsidRDefault="00476647" w:rsidP="4EFD2FA9">
      <w:pPr>
        <w:pStyle w:val="Corps"/>
        <w:rPr>
          <w:rFonts w:ascii="Raleway" w:hAnsi="Raleway"/>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225382" w:rsidRPr="00704EA3" w14:paraId="26367B45" w14:textId="77777777" w:rsidTr="004D1805">
        <w:tc>
          <w:tcPr>
            <w:tcW w:w="9628" w:type="dxa"/>
            <w:shd w:val="clear" w:color="auto" w:fill="0081A2"/>
          </w:tcPr>
          <w:p w14:paraId="414488D4" w14:textId="196AE741" w:rsidR="00225382" w:rsidRPr="00F438FE" w:rsidRDefault="00225382" w:rsidP="4EFD2FA9">
            <w:pPr>
              <w:jc w:val="center"/>
              <w:rPr>
                <w:rFonts w:ascii="Raleway" w:hAnsi="Raleway"/>
                <w:b/>
                <w:sz w:val="30"/>
              </w:rPr>
            </w:pPr>
            <w:r w:rsidRPr="00F438FE">
              <w:rPr>
                <w:rFonts w:ascii="Raleway" w:hAnsi="Raleway"/>
                <w:b/>
                <w:sz w:val="30"/>
              </w:rPr>
              <w:br/>
            </w:r>
            <w:r w:rsidR="00461668" w:rsidRPr="002C3660">
              <w:rPr>
                <w:rFonts w:ascii="Raleway" w:eastAsia="Raleway" w:hAnsi="Raleway" w:cs="Raleway"/>
                <w:b/>
                <w:color w:val="FEFEFE"/>
                <w:sz w:val="30"/>
              </w:rPr>
              <w:t>Concertation</w:t>
            </w:r>
          </w:p>
          <w:p w14:paraId="70E80269" w14:textId="6A2CFE66" w:rsidR="00225382" w:rsidRPr="00245C0F" w:rsidRDefault="4EFD2FA9" w:rsidP="4EFD2FA9">
            <w:pPr>
              <w:jc w:val="center"/>
              <w:rPr>
                <w:rFonts w:ascii="Raleway" w:hAnsi="Raleway"/>
                <w:color w:val="636363"/>
              </w:rPr>
            </w:pPr>
            <w:r w:rsidRPr="00245C0F">
              <w:rPr>
                <w:rFonts w:ascii="Raleway" w:hAnsi="Raleway"/>
                <w:color w:val="636363"/>
                <w:sz w:val="34"/>
                <w:szCs w:val="34"/>
              </w:rPr>
              <w:t>-</w:t>
            </w:r>
          </w:p>
          <w:p w14:paraId="01FC307A" w14:textId="4C1245B5" w:rsidR="00225382" w:rsidRDefault="00461668" w:rsidP="4EFD2FA9">
            <w:pPr>
              <w:spacing w:line="288" w:lineRule="auto"/>
              <w:jc w:val="center"/>
              <w:rPr>
                <w:rFonts w:ascii="Raleway" w:eastAsia="Raleway" w:hAnsi="Raleway" w:cs="Raleway"/>
                <w:b/>
                <w:bCs/>
                <w:color w:val="FFFFFF" w:themeColor="background1"/>
                <w:sz w:val="40"/>
                <w:szCs w:val="40"/>
              </w:rPr>
            </w:pPr>
            <w:r>
              <w:rPr>
                <w:rFonts w:ascii="Raleway" w:eastAsia="Raleway" w:hAnsi="Raleway" w:cs="Raleway"/>
                <w:b/>
                <w:bCs/>
                <w:color w:val="FFFFFF" w:themeColor="background1"/>
                <w:sz w:val="40"/>
                <w:szCs w:val="40"/>
              </w:rPr>
              <w:t>Doctrine Technique</w:t>
            </w:r>
            <w:r w:rsidR="00704EA3">
              <w:rPr>
                <w:rFonts w:ascii="Raleway" w:eastAsia="Raleway" w:hAnsi="Raleway" w:cs="Raleway"/>
                <w:b/>
                <w:bCs/>
                <w:color w:val="FFFFFF" w:themeColor="background1"/>
                <w:sz w:val="40"/>
                <w:szCs w:val="40"/>
              </w:rPr>
              <w:t xml:space="preserve"> du Numérique en Santé</w:t>
            </w:r>
          </w:p>
          <w:p w14:paraId="40CD6DD1" w14:textId="77777777" w:rsidR="00514B5E" w:rsidRPr="00245C0F" w:rsidRDefault="00514B5E" w:rsidP="4EFD2FA9">
            <w:pPr>
              <w:spacing w:line="288" w:lineRule="auto"/>
              <w:jc w:val="center"/>
              <w:rPr>
                <w:rFonts w:ascii="Raleway" w:hAnsi="Raleway"/>
                <w:b/>
              </w:rPr>
            </w:pPr>
          </w:p>
          <w:p w14:paraId="0C25EE5F" w14:textId="4288A6CA" w:rsidR="00225382" w:rsidRPr="004F6797" w:rsidRDefault="00461668" w:rsidP="4EFD2FA9">
            <w:pPr>
              <w:spacing w:line="288" w:lineRule="auto"/>
              <w:jc w:val="center"/>
              <w:rPr>
                <w:rFonts w:ascii="Raleway" w:eastAsia="Raleway" w:hAnsi="Raleway" w:cs="Raleway"/>
                <w:b/>
                <w:color w:val="FEFEFE"/>
                <w:sz w:val="28"/>
                <w:szCs w:val="28"/>
              </w:rPr>
            </w:pPr>
            <w:r>
              <w:rPr>
                <w:rFonts w:ascii="Raleway" w:eastAsia="Raleway" w:hAnsi="Raleway" w:cs="Raleway"/>
                <w:b/>
                <w:color w:val="FEFEFE"/>
                <w:sz w:val="30"/>
                <w:szCs w:val="28"/>
              </w:rPr>
              <w:t xml:space="preserve">Note de </w:t>
            </w:r>
            <w:r w:rsidR="00EB5727">
              <w:rPr>
                <w:rFonts w:ascii="Raleway" w:eastAsia="Raleway" w:hAnsi="Raleway" w:cs="Raleway"/>
                <w:b/>
                <w:color w:val="FEFEFE"/>
                <w:sz w:val="30"/>
                <w:szCs w:val="28"/>
              </w:rPr>
              <w:t>position</w:t>
            </w:r>
            <w:r>
              <w:rPr>
                <w:rFonts w:ascii="Raleway" w:eastAsia="Raleway" w:hAnsi="Raleway" w:cs="Raleway"/>
                <w:b/>
                <w:color w:val="FEFEFE"/>
                <w:sz w:val="30"/>
                <w:szCs w:val="28"/>
              </w:rPr>
              <w:t xml:space="preserve"> </w:t>
            </w:r>
            <w:r w:rsidR="00DD0FBE" w:rsidRPr="004F6797">
              <w:rPr>
                <w:rFonts w:ascii="Raleway" w:eastAsia="Raleway" w:hAnsi="Raleway" w:cs="Raleway"/>
                <w:b/>
                <w:color w:val="FEFEFE"/>
                <w:sz w:val="30"/>
                <w:szCs w:val="28"/>
              </w:rPr>
              <w:t>FEIMA</w:t>
            </w:r>
            <w:r w:rsidR="006B15EF">
              <w:rPr>
                <w:rFonts w:ascii="Raleway" w:eastAsia="Raleway" w:hAnsi="Raleway" w:cs="Raleway"/>
                <w:b/>
                <w:color w:val="FEFEFE"/>
                <w:sz w:val="30"/>
                <w:szCs w:val="28"/>
              </w:rPr>
              <w:t xml:space="preserve"> </w:t>
            </w:r>
            <w:r w:rsidR="006B15EF" w:rsidRPr="006B15EF">
              <w:rPr>
                <w:rFonts w:ascii="Raleway" w:eastAsia="Raleway" w:hAnsi="Raleway" w:cs="Raleway"/>
                <w:bCs/>
                <w:color w:val="FEFEFE"/>
                <w:sz w:val="26"/>
              </w:rPr>
              <w:t xml:space="preserve">(version du </w:t>
            </w:r>
            <w:r w:rsidR="00A23212">
              <w:rPr>
                <w:rFonts w:ascii="Raleway" w:eastAsia="Raleway" w:hAnsi="Raleway" w:cs="Raleway"/>
                <w:bCs/>
                <w:color w:val="FEFEFE"/>
                <w:sz w:val="26"/>
              </w:rPr>
              <w:t>02</w:t>
            </w:r>
            <w:r w:rsidR="006B15EF" w:rsidRPr="006B15EF">
              <w:rPr>
                <w:rFonts w:ascii="Raleway" w:eastAsia="Raleway" w:hAnsi="Raleway" w:cs="Raleway"/>
                <w:bCs/>
                <w:color w:val="FEFEFE"/>
                <w:sz w:val="26"/>
              </w:rPr>
              <w:t>/</w:t>
            </w:r>
            <w:r w:rsidR="00A23212">
              <w:rPr>
                <w:rFonts w:ascii="Raleway" w:eastAsia="Raleway" w:hAnsi="Raleway" w:cs="Raleway"/>
                <w:bCs/>
                <w:color w:val="FEFEFE"/>
                <w:sz w:val="26"/>
              </w:rPr>
              <w:t>02</w:t>
            </w:r>
            <w:r w:rsidR="006B15EF" w:rsidRPr="006B15EF">
              <w:rPr>
                <w:rFonts w:ascii="Raleway" w:eastAsia="Raleway" w:hAnsi="Raleway" w:cs="Raleway"/>
                <w:bCs/>
                <w:color w:val="FEFEFE"/>
                <w:sz w:val="26"/>
              </w:rPr>
              <w:t>/20</w:t>
            </w:r>
            <w:r w:rsidR="00A23212">
              <w:rPr>
                <w:rFonts w:ascii="Raleway" w:eastAsia="Raleway" w:hAnsi="Raleway" w:cs="Raleway"/>
                <w:bCs/>
                <w:color w:val="FEFEFE"/>
                <w:sz w:val="26"/>
              </w:rPr>
              <w:t>20</w:t>
            </w:r>
            <w:r w:rsidR="006B15EF" w:rsidRPr="006B15EF">
              <w:rPr>
                <w:rFonts w:ascii="Raleway" w:eastAsia="Raleway" w:hAnsi="Raleway" w:cs="Raleway"/>
                <w:bCs/>
                <w:color w:val="FEFEFE"/>
                <w:sz w:val="26"/>
              </w:rPr>
              <w:t>)</w:t>
            </w:r>
          </w:p>
        </w:tc>
      </w:tr>
      <w:tr w:rsidR="00225382" w:rsidRPr="00704EA3" w14:paraId="5EB6E277" w14:textId="77777777" w:rsidTr="004D1805">
        <w:tc>
          <w:tcPr>
            <w:tcW w:w="9628" w:type="dxa"/>
            <w:shd w:val="clear" w:color="auto" w:fill="0081A2"/>
          </w:tcPr>
          <w:p w14:paraId="1323C7DB" w14:textId="1C838DD1" w:rsidR="00225382" w:rsidRPr="00245C0F" w:rsidRDefault="00225382">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Raleway" w:hAnsi="Raleway"/>
              </w:rPr>
            </w:pPr>
          </w:p>
        </w:tc>
      </w:tr>
    </w:tbl>
    <w:p w14:paraId="426B9CFC" w14:textId="58F60148" w:rsidR="00711B37" w:rsidRDefault="00711B37" w:rsidP="076A1439">
      <w:pPr>
        <w:pStyle w:val="Corps"/>
        <w:rPr>
          <w:rFonts w:ascii="Raleway" w:hAnsi="Raleway"/>
        </w:rPr>
      </w:pPr>
    </w:p>
    <w:p w14:paraId="0464BB82" w14:textId="449B5E55" w:rsidR="00D27F88" w:rsidRDefault="00D27F88" w:rsidP="076A1439">
      <w:pPr>
        <w:pStyle w:val="Corps"/>
        <w:rPr>
          <w:rFonts w:ascii="Raleway" w:hAnsi="Raleway"/>
        </w:rPr>
      </w:pPr>
    </w:p>
    <w:p w14:paraId="277A1A68" w14:textId="77777777" w:rsidR="00D27F88" w:rsidRDefault="00D27F88" w:rsidP="076A1439">
      <w:pPr>
        <w:pStyle w:val="Corps"/>
        <w:rPr>
          <w:rFonts w:ascii="Raleway" w:hAnsi="Raleway"/>
        </w:rPr>
      </w:pPr>
    </w:p>
    <w:p w14:paraId="1253D9C2" w14:textId="77777777" w:rsidR="00D27F88" w:rsidRDefault="00D27F88" w:rsidP="076A1439">
      <w:pPr>
        <w:pStyle w:val="Corps"/>
        <w:rPr>
          <w:rFonts w:ascii="Raleway" w:hAnsi="Raleway"/>
        </w:rPr>
      </w:pPr>
      <w:bookmarkStart w:id="0" w:name="_GoBack"/>
      <w:bookmarkEnd w:id="0"/>
    </w:p>
    <w:p w14:paraId="35D59004" w14:textId="77777777" w:rsidR="00D27F88" w:rsidRDefault="00D27F88" w:rsidP="076A1439">
      <w:pPr>
        <w:pStyle w:val="Corps"/>
        <w:rPr>
          <w:rFonts w:ascii="Raleway" w:hAnsi="Raleway"/>
        </w:rPr>
      </w:pPr>
    </w:p>
    <w:p w14:paraId="5D02A731" w14:textId="77777777" w:rsidR="00D27F88" w:rsidRDefault="00D27F88" w:rsidP="076A1439">
      <w:pPr>
        <w:pStyle w:val="Corps"/>
        <w:rPr>
          <w:rFonts w:ascii="Raleway" w:hAnsi="Raleway"/>
        </w:rPr>
      </w:pPr>
    </w:p>
    <w:p w14:paraId="49D4F66A" w14:textId="071FAD4F" w:rsidR="00D27F88" w:rsidRDefault="00514B5E" w:rsidP="00514B5E">
      <w:pPr>
        <w:pStyle w:val="Corps"/>
        <w:jc w:val="center"/>
        <w:rPr>
          <w:rFonts w:ascii="Raleway" w:hAnsi="Raleway"/>
        </w:rPr>
      </w:pPr>
      <w:r>
        <w:rPr>
          <w:rFonts w:ascii="Raleway" w:hAnsi="Raleway"/>
          <w:noProof/>
        </w:rPr>
        <w:drawing>
          <wp:inline distT="0" distB="0" distL="0" distR="0" wp14:anchorId="65486545" wp14:editId="3103F569">
            <wp:extent cx="2780168" cy="1427593"/>
            <wp:effectExtent l="0" t="0" r="127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170" cy="1427594"/>
                    </a:xfrm>
                    <a:prstGeom prst="rect">
                      <a:avLst/>
                    </a:prstGeom>
                    <a:noFill/>
                    <a:ln>
                      <a:noFill/>
                    </a:ln>
                  </pic:spPr>
                </pic:pic>
              </a:graphicData>
            </a:graphic>
          </wp:inline>
        </w:drawing>
      </w:r>
    </w:p>
    <w:p w14:paraId="09FE24C4" w14:textId="77777777" w:rsidR="00D27F88" w:rsidRPr="00245C0F" w:rsidRDefault="00D27F88" w:rsidP="076A1439">
      <w:pPr>
        <w:pStyle w:val="Corps"/>
        <w:rPr>
          <w:rFonts w:ascii="Raleway" w:hAnsi="Raleway"/>
        </w:rPr>
      </w:pPr>
    </w:p>
    <w:p w14:paraId="3079BCBB" w14:textId="67B7A463" w:rsidR="008B1888" w:rsidRDefault="008B1888" w:rsidP="076A1439">
      <w:pPr>
        <w:pStyle w:val="Corps"/>
        <w:rPr>
          <w:rFonts w:ascii="Raleway" w:hAnsi="Raleway"/>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6114"/>
      </w:tblGrid>
      <w:tr w:rsidR="00D27F88" w14:paraId="3E6142B6" w14:textId="77777777" w:rsidTr="009B68D2">
        <w:tc>
          <w:tcPr>
            <w:tcW w:w="3652" w:type="dxa"/>
          </w:tcPr>
          <w:p w14:paraId="605FAE7B" w14:textId="263422DA" w:rsidR="00D27F88" w:rsidRDefault="00514B5E" w:rsidP="076A1439">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Raleway" w:hAnsi="Raleway"/>
              </w:rPr>
            </w:pPr>
            <w:r>
              <w:rPr>
                <w:noProof/>
              </w:rPr>
              <w:drawing>
                <wp:inline distT="0" distB="0" distL="0" distR="0" wp14:anchorId="3929C590" wp14:editId="68593183">
                  <wp:extent cx="1948069" cy="1303725"/>
                  <wp:effectExtent l="0" t="0" r="0" b="0"/>
                  <wp:docPr id="4" name="Image 4" descr="Logo_Concertation_RetoucheCoule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ncertation_RetoucheCouleu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7931" cy="1303632"/>
                          </a:xfrm>
                          <a:prstGeom prst="rect">
                            <a:avLst/>
                          </a:prstGeom>
                          <a:noFill/>
                          <a:ln>
                            <a:noFill/>
                          </a:ln>
                        </pic:spPr>
                      </pic:pic>
                    </a:graphicData>
                  </a:graphic>
                </wp:inline>
              </w:drawing>
            </w:r>
          </w:p>
        </w:tc>
        <w:tc>
          <w:tcPr>
            <w:tcW w:w="6202" w:type="dxa"/>
          </w:tcPr>
          <w:p w14:paraId="51B596A6" w14:textId="1988BC46" w:rsidR="00D27F88" w:rsidRDefault="00514B5E" w:rsidP="076A1439">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Raleway" w:hAnsi="Raleway"/>
              </w:rPr>
            </w:pPr>
            <w:r>
              <w:rPr>
                <w:rFonts w:ascii="Raleway" w:hAnsi="Raleway"/>
                <w:noProof/>
              </w:rPr>
              <w:drawing>
                <wp:inline distT="0" distB="0" distL="0" distR="0" wp14:anchorId="2DAB8C91" wp14:editId="22E6743A">
                  <wp:extent cx="3633344" cy="1383657"/>
                  <wp:effectExtent l="0" t="0" r="571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3572" cy="1383744"/>
                          </a:xfrm>
                          <a:prstGeom prst="rect">
                            <a:avLst/>
                          </a:prstGeom>
                          <a:noFill/>
                          <a:ln>
                            <a:noFill/>
                          </a:ln>
                        </pic:spPr>
                      </pic:pic>
                    </a:graphicData>
                  </a:graphic>
                </wp:inline>
              </w:drawing>
            </w:r>
          </w:p>
        </w:tc>
      </w:tr>
    </w:tbl>
    <w:p w14:paraId="47BB958F" w14:textId="77777777" w:rsidR="00D27F88" w:rsidRPr="00245C0F" w:rsidRDefault="00D27F88" w:rsidP="076A1439">
      <w:pPr>
        <w:pStyle w:val="Corps"/>
        <w:rPr>
          <w:rFonts w:ascii="Raleway" w:hAnsi="Raleway"/>
        </w:rPr>
      </w:pPr>
    </w:p>
    <w:p w14:paraId="37E26C08" w14:textId="04780D67" w:rsidR="007F3924" w:rsidRPr="00245C0F" w:rsidRDefault="007F3924" w:rsidP="076A1439">
      <w:pPr>
        <w:pStyle w:val="Corps"/>
        <w:rPr>
          <w:rFonts w:ascii="Raleway" w:hAnsi="Raleway"/>
        </w:rPr>
      </w:pPr>
    </w:p>
    <w:p w14:paraId="2FB153A1" w14:textId="5FB5AF03" w:rsidR="00452A61" w:rsidRPr="00245C0F" w:rsidRDefault="00452A61" w:rsidP="076A1439">
      <w:pPr>
        <w:pStyle w:val="Corps"/>
        <w:rPr>
          <w:rFonts w:ascii="Raleway" w:hAnsi="Raleway"/>
        </w:rPr>
      </w:pPr>
    </w:p>
    <w:p w14:paraId="79AEE089" w14:textId="2231B86D" w:rsidR="00452A61" w:rsidRPr="00245C0F" w:rsidRDefault="00452A61" w:rsidP="00D27F88">
      <w:pPr>
        <w:pStyle w:val="Corps"/>
        <w:jc w:val="center"/>
        <w:rPr>
          <w:rFonts w:ascii="Raleway" w:hAnsi="Raleway"/>
        </w:rPr>
      </w:pPr>
    </w:p>
    <w:p w14:paraId="34DBDB6E" w14:textId="717DE446" w:rsidR="00452A61" w:rsidRPr="00245C0F" w:rsidRDefault="00452A61" w:rsidP="076A1439">
      <w:pPr>
        <w:pStyle w:val="Corps"/>
        <w:rPr>
          <w:rFonts w:ascii="Raleway" w:hAnsi="Raleway"/>
        </w:rPr>
      </w:pPr>
    </w:p>
    <w:p w14:paraId="05AB3F0E" w14:textId="159EA5AD" w:rsidR="00452A61" w:rsidRPr="00245C0F" w:rsidRDefault="00452A61" w:rsidP="076A1439">
      <w:pPr>
        <w:pStyle w:val="Corps"/>
        <w:rPr>
          <w:rFonts w:ascii="Raleway" w:hAnsi="Raleway"/>
        </w:rPr>
      </w:pPr>
    </w:p>
    <w:p w14:paraId="02468A0F" w14:textId="672B1B5E" w:rsidR="00452A61" w:rsidRPr="00245C0F" w:rsidRDefault="00452A61" w:rsidP="076A1439">
      <w:pPr>
        <w:pStyle w:val="Corps"/>
        <w:rPr>
          <w:rFonts w:ascii="Raleway" w:hAnsi="Raleway"/>
        </w:rPr>
      </w:pPr>
    </w:p>
    <w:p w14:paraId="7BC5CEA6" w14:textId="6E959D8E" w:rsidR="00452A61" w:rsidRPr="00245C0F" w:rsidRDefault="00452A61" w:rsidP="076A1439">
      <w:pPr>
        <w:pStyle w:val="Corps"/>
        <w:rPr>
          <w:rFonts w:ascii="Raleway" w:hAnsi="Raleway"/>
        </w:rPr>
      </w:pPr>
    </w:p>
    <w:p w14:paraId="7CCA361C" w14:textId="748AD52B" w:rsidR="00452A61" w:rsidRPr="00245C0F" w:rsidRDefault="00452A61" w:rsidP="076A1439">
      <w:pPr>
        <w:pStyle w:val="Corps"/>
        <w:rPr>
          <w:rFonts w:ascii="Raleway" w:hAnsi="Raleway"/>
        </w:rPr>
      </w:pPr>
    </w:p>
    <w:p w14:paraId="0D20BC59" w14:textId="3BE66133" w:rsidR="00452A61" w:rsidRPr="00245C0F" w:rsidRDefault="00452A61" w:rsidP="076A1439">
      <w:pPr>
        <w:pStyle w:val="Corps"/>
        <w:rPr>
          <w:rFonts w:ascii="Raleway" w:hAnsi="Raleway"/>
        </w:rPr>
      </w:pPr>
    </w:p>
    <w:p w14:paraId="102BA437" w14:textId="75479EC7" w:rsidR="00452A61" w:rsidRPr="00245C0F" w:rsidRDefault="00452A61" w:rsidP="076A1439">
      <w:pPr>
        <w:pStyle w:val="Corps"/>
        <w:rPr>
          <w:rFonts w:ascii="Raleway" w:hAnsi="Raleway"/>
        </w:rPr>
      </w:pPr>
    </w:p>
    <w:p w14:paraId="57A33F76" w14:textId="2CC685C8" w:rsidR="00452A61" w:rsidRPr="00245C0F" w:rsidRDefault="00452A61" w:rsidP="076A1439">
      <w:pPr>
        <w:pStyle w:val="Corps"/>
        <w:rPr>
          <w:rFonts w:ascii="Raleway" w:hAnsi="Raleway"/>
        </w:rPr>
      </w:pPr>
    </w:p>
    <w:p w14:paraId="5707236B" w14:textId="4F15E49C" w:rsidR="00691002" w:rsidRDefault="00691002">
      <w:pPr>
        <w:rPr>
          <w:rFonts w:ascii="Raleway" w:hAnsi="Raleway" w:cs="Arial Unicode MS"/>
          <w:color w:val="000000"/>
          <w:sz w:val="22"/>
          <w:szCs w:val="22"/>
        </w:rPr>
      </w:pPr>
      <w:r>
        <w:rPr>
          <w:rFonts w:ascii="Raleway" w:hAnsi="Raleway"/>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691002" w:rsidRPr="00245C0F" w14:paraId="72C7144C" w14:textId="77777777" w:rsidTr="00F557C7">
        <w:tc>
          <w:tcPr>
            <w:tcW w:w="9628" w:type="dxa"/>
            <w:shd w:val="clear" w:color="auto" w:fill="0081A2"/>
          </w:tcPr>
          <w:p w14:paraId="6A6FF773" w14:textId="77777777" w:rsidR="00691002" w:rsidRPr="00245C0F" w:rsidRDefault="00691002" w:rsidP="00F557C7">
            <w:pPr>
              <w:jc w:val="center"/>
              <w:rPr>
                <w:rFonts w:ascii="Raleway" w:hAnsi="Raleway"/>
              </w:rPr>
            </w:pPr>
          </w:p>
          <w:p w14:paraId="6474E020" w14:textId="73A90B47" w:rsidR="00691002" w:rsidRPr="00245C0F" w:rsidRDefault="00691002" w:rsidP="00F557C7">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Schéma d’architecture cible</w:t>
            </w:r>
          </w:p>
        </w:tc>
      </w:tr>
      <w:tr w:rsidR="00691002" w:rsidRPr="00245C0F" w14:paraId="145F98A9" w14:textId="77777777" w:rsidTr="00F557C7">
        <w:tc>
          <w:tcPr>
            <w:tcW w:w="9628" w:type="dxa"/>
            <w:shd w:val="clear" w:color="auto" w:fill="0081A2"/>
          </w:tcPr>
          <w:p w14:paraId="5A629E4B" w14:textId="77777777" w:rsidR="00691002" w:rsidRPr="00245C0F" w:rsidRDefault="00691002" w:rsidP="00F557C7">
            <w:pPr>
              <w:pStyle w:val="Corps"/>
              <w:rPr>
                <w:rFonts w:ascii="Raleway" w:hAnsi="Raleway"/>
              </w:rPr>
            </w:pPr>
          </w:p>
        </w:tc>
      </w:tr>
    </w:tbl>
    <w:p w14:paraId="32705713" w14:textId="77777777" w:rsidR="00691002" w:rsidRPr="00245C0F" w:rsidRDefault="00691002" w:rsidP="00691002">
      <w:pPr>
        <w:pStyle w:val="Corps"/>
        <w:rPr>
          <w:rFonts w:ascii="Raleway" w:hAnsi="Raleway"/>
        </w:rPr>
      </w:pPr>
    </w:p>
    <w:p w14:paraId="29488983" w14:textId="31BD73DC" w:rsidR="004E40BB" w:rsidRPr="004E40BB" w:rsidRDefault="00FD03AB" w:rsidP="004E40BB">
      <w:pPr>
        <w:pStyle w:val="Sansinterligne"/>
        <w:rPr>
          <w:rFonts w:ascii="Calibri" w:hAnsi="Calibri" w:cs="Calibri"/>
          <w:b/>
          <w:sz w:val="22"/>
          <w:szCs w:val="22"/>
          <w:bdr w:val="none" w:sz="0" w:space="0" w:color="auto"/>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19008" behindDoc="0" locked="0" layoutInCell="1" allowOverlap="1" wp14:anchorId="178198DF" wp14:editId="3196DBB0">
            <wp:simplePos x="0" y="0"/>
            <wp:positionH relativeFrom="column">
              <wp:posOffset>-248920</wp:posOffset>
            </wp:positionH>
            <wp:positionV relativeFrom="paragraph">
              <wp:posOffset>214792</wp:posOffset>
            </wp:positionV>
            <wp:extent cx="228600" cy="228600"/>
            <wp:effectExtent l="25400" t="12700" r="76200" b="63500"/>
            <wp:wrapNone/>
            <wp:docPr id="13" name="Graphique 13"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E40BB">
        <w:rPr>
          <w:rFonts w:ascii="Calibri" w:hAnsi="Calibri" w:cs="Calibri"/>
          <w:sz w:val="22"/>
          <w:szCs w:val="22"/>
          <w:bdr w:val="none" w:sz="0" w:space="0" w:color="auto"/>
          <w:lang w:val="fr-FR"/>
        </w:rPr>
        <w:t>Le propos introductif positionne l’état dans un rôle « d’état plateforme ». L</w:t>
      </w:r>
      <w:r w:rsidR="004E40BB" w:rsidRPr="004E40BB">
        <w:rPr>
          <w:rFonts w:ascii="Calibri" w:hAnsi="Calibri" w:cs="Calibri"/>
          <w:sz w:val="22"/>
          <w:szCs w:val="22"/>
          <w:bdr w:val="none" w:sz="0" w:space="0" w:color="auto"/>
          <w:lang w:val="fr-FR"/>
        </w:rPr>
        <w:t xml:space="preserve">a FEIMA souhaite mettre l’accent sur un point qui paraît essentiel si l’on veut se donner les moyens de garantir une mobilisation soutenue des acteurs au bénéfice du développement de services à valeur d’usage. </w:t>
      </w:r>
      <w:r w:rsidR="004E40BB" w:rsidRPr="004E40BB">
        <w:rPr>
          <w:rFonts w:ascii="Calibri" w:hAnsi="Calibri" w:cs="Calibri"/>
          <w:b/>
          <w:sz w:val="22"/>
          <w:szCs w:val="22"/>
          <w:bdr w:val="none" w:sz="0" w:space="0" w:color="auto"/>
          <w:lang w:val="fr-FR"/>
        </w:rPr>
        <w:t>Il s’agit de l’articulation entre les rôles respectifs de l’état et des acteurs industriels, qu’il s’agisse des grandes entreprises ou des startups.</w:t>
      </w:r>
    </w:p>
    <w:p w14:paraId="5ED033EA" w14:textId="77777777" w:rsidR="004E40BB" w:rsidRPr="004E40BB" w:rsidRDefault="004E40BB" w:rsidP="004E40BB">
      <w:pPr>
        <w:pStyle w:val="Sansinterligne"/>
        <w:rPr>
          <w:rFonts w:ascii="Calibri" w:hAnsi="Calibri" w:cs="Calibri"/>
          <w:sz w:val="22"/>
          <w:szCs w:val="22"/>
          <w:bdr w:val="none" w:sz="0" w:space="0" w:color="auto"/>
          <w:lang w:val="fr-FR"/>
        </w:rPr>
      </w:pPr>
    </w:p>
    <w:p w14:paraId="7464833A" w14:textId="77777777" w:rsidR="004E40BB" w:rsidRPr="004E40BB" w:rsidRDefault="004E40BB" w:rsidP="004E40BB">
      <w:pPr>
        <w:pStyle w:val="Sansinterligne"/>
        <w:rPr>
          <w:rFonts w:ascii="Calibri" w:hAnsi="Calibri" w:cs="Calibri"/>
          <w:sz w:val="22"/>
          <w:szCs w:val="22"/>
          <w:bdr w:val="none" w:sz="0" w:space="0" w:color="auto"/>
          <w:lang w:val="fr-FR"/>
        </w:rPr>
      </w:pPr>
      <w:r w:rsidRPr="004E40BB">
        <w:rPr>
          <w:rFonts w:ascii="Calibri" w:hAnsi="Calibri" w:cs="Calibri"/>
          <w:sz w:val="22"/>
          <w:szCs w:val="22"/>
          <w:bdr w:val="none" w:sz="0" w:space="0" w:color="auto"/>
          <w:lang w:val="fr-FR"/>
        </w:rPr>
        <w:t>Si l’État semble tout à fait légitime à porter les services socles, dans une posture régalienne exprimée en faveur de leur adoption par l’ensemble des acteurs du système, il doit être en mesure de laisser un terrain d’expression suffisant à la sphère industrielle afin qu’elle puisse jouer pleinement son rôle d’innovation.</w:t>
      </w:r>
    </w:p>
    <w:p w14:paraId="4F0B4580" w14:textId="77777777" w:rsidR="004E40BB" w:rsidRPr="004E40BB" w:rsidRDefault="004E40BB" w:rsidP="004E40BB">
      <w:pPr>
        <w:pStyle w:val="Sansinterligne"/>
        <w:rPr>
          <w:rFonts w:ascii="Calibri" w:hAnsi="Calibri" w:cs="Calibri"/>
          <w:sz w:val="22"/>
          <w:szCs w:val="22"/>
          <w:bdr w:val="none" w:sz="0" w:space="0" w:color="auto"/>
          <w:lang w:val="fr-FR"/>
        </w:rPr>
      </w:pPr>
    </w:p>
    <w:p w14:paraId="7E761C08" w14:textId="77777777" w:rsidR="004E40BB" w:rsidRPr="004E40BB" w:rsidRDefault="004E40BB" w:rsidP="004E40BB">
      <w:pPr>
        <w:pStyle w:val="Sansinterligne"/>
        <w:rPr>
          <w:rFonts w:ascii="Calibri" w:hAnsi="Calibri" w:cs="Calibri"/>
          <w:sz w:val="22"/>
          <w:szCs w:val="22"/>
          <w:bdr w:val="none" w:sz="0" w:space="0" w:color="auto"/>
          <w:lang w:val="fr-FR"/>
        </w:rPr>
      </w:pPr>
      <w:r w:rsidRPr="004E40BB">
        <w:rPr>
          <w:rFonts w:ascii="Calibri" w:hAnsi="Calibri" w:cs="Calibri"/>
          <w:sz w:val="22"/>
          <w:szCs w:val="22"/>
          <w:bdr w:val="none" w:sz="0" w:space="0" w:color="auto"/>
          <w:lang w:val="fr-FR"/>
        </w:rPr>
        <w:t>Les propositions de valeurs qui sont susceptibles de découler d’une articulation construite sur ces bases sont indéniablement appelées à produire une offre de services riche et variée, en cohérence avec les objectifs stratégiques et dans le respect des schémas d’urbanisation fixés par l’État.</w:t>
      </w:r>
    </w:p>
    <w:p w14:paraId="4822F91B" w14:textId="77777777" w:rsidR="000677C1" w:rsidRDefault="000677C1" w:rsidP="008F2851">
      <w:pPr>
        <w:pStyle w:val="Sansinterligne"/>
        <w:rPr>
          <w:rFonts w:ascii="Calibri" w:hAnsi="Calibri" w:cs="Calibri"/>
          <w:sz w:val="22"/>
          <w:szCs w:val="22"/>
          <w:bdr w:val="none" w:sz="0" w:space="0" w:color="auto"/>
          <w:lang w:val="fr-FR"/>
        </w:rPr>
      </w:pPr>
    </w:p>
    <w:p w14:paraId="7CB49715" w14:textId="02386262" w:rsidR="008F2851" w:rsidRDefault="008F2851" w:rsidP="008F2851">
      <w:pPr>
        <w:pStyle w:val="Sansinterligne"/>
        <w:rPr>
          <w:rFonts w:ascii="Calibri" w:hAnsi="Calibri" w:cs="Calibri"/>
          <w:sz w:val="22"/>
          <w:szCs w:val="22"/>
          <w:bdr w:val="none" w:sz="0" w:space="0" w:color="auto"/>
          <w:lang w:val="fr-FR"/>
        </w:rPr>
      </w:pPr>
      <w:r>
        <w:rPr>
          <w:rFonts w:ascii="Calibri" w:hAnsi="Calibri" w:cs="Calibri"/>
          <w:sz w:val="22"/>
          <w:szCs w:val="22"/>
          <w:bdr w:val="none" w:sz="0" w:space="0" w:color="auto"/>
          <w:lang w:val="fr-FR"/>
        </w:rPr>
        <w:t>Le schéma d’architecture proposé appel</w:t>
      </w:r>
      <w:r w:rsidR="00AE028D">
        <w:rPr>
          <w:rFonts w:ascii="Calibri" w:hAnsi="Calibri" w:cs="Calibri"/>
          <w:sz w:val="22"/>
          <w:szCs w:val="22"/>
          <w:bdr w:val="none" w:sz="0" w:space="0" w:color="auto"/>
          <w:lang w:val="fr-FR"/>
        </w:rPr>
        <w:t>le</w:t>
      </w:r>
      <w:r>
        <w:rPr>
          <w:rFonts w:ascii="Calibri" w:hAnsi="Calibri" w:cs="Calibri"/>
          <w:sz w:val="22"/>
          <w:szCs w:val="22"/>
          <w:bdr w:val="none" w:sz="0" w:space="0" w:color="auto"/>
          <w:lang w:val="fr-FR"/>
        </w:rPr>
        <w:t xml:space="preserve"> de notre part les remarques suivantes.</w:t>
      </w:r>
    </w:p>
    <w:p w14:paraId="516B28EC" w14:textId="170DC4F9" w:rsidR="008F2851" w:rsidRDefault="008F2851" w:rsidP="008F2851">
      <w:pPr>
        <w:pStyle w:val="Sansinterligne"/>
        <w:rPr>
          <w:rFonts w:ascii="Calibri" w:hAnsi="Calibri" w:cs="Calibri"/>
          <w:sz w:val="22"/>
          <w:szCs w:val="22"/>
          <w:bdr w:val="none" w:sz="0" w:space="0" w:color="auto"/>
          <w:lang w:val="fr-FR"/>
        </w:rPr>
      </w:pPr>
    </w:p>
    <w:p w14:paraId="064A32C4" w14:textId="68E7D235" w:rsidR="008F2851" w:rsidRDefault="008F2851" w:rsidP="00744E85">
      <w:pPr>
        <w:pStyle w:val="Sansinterligne"/>
        <w:numPr>
          <w:ilvl w:val="0"/>
          <w:numId w:val="13"/>
        </w:numPr>
        <w:rPr>
          <w:rFonts w:ascii="Calibri" w:hAnsi="Calibri" w:cs="Calibri"/>
          <w:sz w:val="22"/>
          <w:szCs w:val="22"/>
          <w:bdr w:val="none" w:sz="0" w:space="0" w:color="auto"/>
          <w:lang w:val="fr-FR"/>
        </w:rPr>
      </w:pPr>
      <w:r>
        <w:rPr>
          <w:rFonts w:ascii="Calibri" w:hAnsi="Calibri" w:cs="Calibri"/>
          <w:sz w:val="22"/>
          <w:szCs w:val="22"/>
          <w:bdr w:val="none" w:sz="0" w:space="0" w:color="auto"/>
          <w:lang w:val="fr-FR"/>
        </w:rPr>
        <w:t>Régulation des politiques publiques du numérique en santé</w:t>
      </w:r>
    </w:p>
    <w:p w14:paraId="64616A84" w14:textId="048CE782" w:rsidR="008F2851" w:rsidRDefault="00AE028D" w:rsidP="008F2851">
      <w:pPr>
        <w:pStyle w:val="Sansinterligne"/>
        <w:ind w:left="36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Nombre d’orientations, tant en matière de définition du cadre de développement du numérique en santé qu’en matière de modalités de contrôle des conformités, résultent directement des dispositions législatives et réglementaires.</w:t>
      </w:r>
    </w:p>
    <w:p w14:paraId="4832090B" w14:textId="4A65C788" w:rsidR="00AE028D" w:rsidRDefault="00AE028D" w:rsidP="008F2851">
      <w:pPr>
        <w:pStyle w:val="Sansinterligne"/>
        <w:ind w:left="36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Il nous semble donc important que le schéma proposé soit adapté afin d’en tenir compte, soit au sein du bloc « régulation », soit à travers un lien vers le dispositif législatif.</w:t>
      </w:r>
    </w:p>
    <w:p w14:paraId="3DA4851F" w14:textId="6B93D27F" w:rsidR="00AE028D" w:rsidRDefault="00AE028D" w:rsidP="008F2851">
      <w:pPr>
        <w:pStyle w:val="Sansinterligne"/>
        <w:ind w:left="360"/>
        <w:rPr>
          <w:rFonts w:ascii="Calibri" w:hAnsi="Calibri" w:cs="Calibri"/>
          <w:sz w:val="22"/>
          <w:szCs w:val="22"/>
          <w:bdr w:val="none" w:sz="0" w:space="0" w:color="auto"/>
          <w:lang w:val="fr-FR"/>
        </w:rPr>
      </w:pPr>
    </w:p>
    <w:p w14:paraId="20FF42FB" w14:textId="72F7A537" w:rsidR="00AE028D" w:rsidRDefault="00AE028D" w:rsidP="008F2851">
      <w:pPr>
        <w:pStyle w:val="Sansinterligne"/>
        <w:ind w:left="36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 xml:space="preserve">Bien que relevant de la négociation conventionnelle entre la CNAM et les organisations professionnelles représentatives, les politiques d’incitation ont démontré leur efficacité dans leur capacité à renforcer l’adhésion des professionnels de santé aux </w:t>
      </w:r>
      <w:r w:rsidR="00430D76">
        <w:rPr>
          <w:rFonts w:ascii="Calibri" w:hAnsi="Calibri" w:cs="Calibri"/>
          <w:sz w:val="22"/>
          <w:szCs w:val="22"/>
          <w:bdr w:val="none" w:sz="0" w:space="0" w:color="auto"/>
          <w:lang w:val="fr-FR"/>
        </w:rPr>
        <w:t>usages des services proposés.</w:t>
      </w:r>
    </w:p>
    <w:p w14:paraId="15F00898" w14:textId="36A6BBC2" w:rsidR="00452A61" w:rsidRPr="00560AFA" w:rsidRDefault="00430D76" w:rsidP="00AF46EC">
      <w:pPr>
        <w:pStyle w:val="Sansinterligne"/>
        <w:ind w:left="360"/>
        <w:rPr>
          <w:rFonts w:ascii="Raleway" w:hAnsi="Raleway"/>
          <w:lang w:val="fr-FR"/>
        </w:rPr>
      </w:pPr>
      <w:r>
        <w:rPr>
          <w:rFonts w:ascii="Calibri" w:hAnsi="Calibri" w:cs="Calibri"/>
          <w:sz w:val="22"/>
          <w:szCs w:val="22"/>
          <w:bdr w:val="none" w:sz="0" w:space="0" w:color="auto"/>
          <w:lang w:val="fr-FR"/>
        </w:rPr>
        <w:t>Il nous semble donc intéressant d’en faire état dans ce schéma afin de le positionner comme un levier activable au bénéfice des politiques publiques.</w:t>
      </w:r>
    </w:p>
    <w:p w14:paraId="2508FB5E" w14:textId="77777777" w:rsidR="00691002" w:rsidRPr="00245C0F" w:rsidRDefault="00691002" w:rsidP="076A1439">
      <w:pPr>
        <w:pStyle w:val="Corps"/>
        <w:rPr>
          <w:rFonts w:ascii="Raleway" w:hAnsi="Raleway"/>
        </w:rPr>
      </w:pPr>
    </w:p>
    <w:p w14:paraId="647D79A9" w14:textId="5D3C2F1A" w:rsidR="000677C1" w:rsidRDefault="000677C1" w:rsidP="00744E85">
      <w:pPr>
        <w:pStyle w:val="Sansinterligne"/>
        <w:numPr>
          <w:ilvl w:val="0"/>
          <w:numId w:val="13"/>
        </w:numPr>
        <w:rPr>
          <w:rFonts w:ascii="Calibri" w:hAnsi="Calibri" w:cs="Calibri"/>
          <w:sz w:val="22"/>
          <w:szCs w:val="22"/>
          <w:bdr w:val="none" w:sz="0" w:space="0" w:color="auto"/>
          <w:lang w:val="fr-FR"/>
        </w:rPr>
      </w:pPr>
      <w:r>
        <w:rPr>
          <w:rFonts w:ascii="Calibri" w:hAnsi="Calibri" w:cs="Calibri"/>
          <w:sz w:val="22"/>
          <w:szCs w:val="22"/>
          <w:bdr w:val="none" w:sz="0" w:space="0" w:color="auto"/>
          <w:lang w:val="fr-FR"/>
        </w:rPr>
        <w:t>Services socles</w:t>
      </w:r>
    </w:p>
    <w:p w14:paraId="3CB12B27" w14:textId="6BCF0D0F" w:rsidR="000677C1" w:rsidRDefault="00FD03AB" w:rsidP="000677C1">
      <w:pPr>
        <w:pStyle w:val="Sansinterligne"/>
        <w:ind w:left="360"/>
        <w:rPr>
          <w:rFonts w:ascii="Calibri" w:hAnsi="Calibri" w:cs="Calibri"/>
          <w:sz w:val="22"/>
          <w:szCs w:val="22"/>
          <w:bdr w:val="none" w:sz="0" w:space="0" w:color="auto"/>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21056" behindDoc="0" locked="0" layoutInCell="1" allowOverlap="1" wp14:anchorId="34431A0A" wp14:editId="4CBF9CA5">
            <wp:simplePos x="0" y="0"/>
            <wp:positionH relativeFrom="column">
              <wp:posOffset>-46355</wp:posOffset>
            </wp:positionH>
            <wp:positionV relativeFrom="paragraph">
              <wp:posOffset>86522</wp:posOffset>
            </wp:positionV>
            <wp:extent cx="228600" cy="228600"/>
            <wp:effectExtent l="25400" t="12700" r="76200" b="63500"/>
            <wp:wrapNone/>
            <wp:docPr id="17" name="Graphique 1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62F64">
        <w:rPr>
          <w:rFonts w:ascii="Calibri" w:hAnsi="Calibri" w:cs="Calibri"/>
          <w:sz w:val="22"/>
          <w:szCs w:val="22"/>
          <w:bdr w:val="none" w:sz="0" w:space="0" w:color="auto"/>
          <w:lang w:val="fr-FR"/>
        </w:rPr>
        <w:t>Nous avons noté le référencement de la MSS dans le bloc « services d’échanges ». L’offre étant portée par une diversité d’acteurs parmi lesquels nombre d’industriels, nous souhaitons que la représentation en tienne compte.</w:t>
      </w:r>
    </w:p>
    <w:p w14:paraId="734EE9FE" w14:textId="1CF2BDEB" w:rsidR="00062F64" w:rsidRDefault="00062F64" w:rsidP="000677C1">
      <w:pPr>
        <w:pStyle w:val="Sansinterligne"/>
        <w:ind w:left="36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Nous avons également noté le référencement des services de télésoin dans le bloc « services d’échange temps réel ». L’offre de services étant majoritairement portée par les acteurs industriels, nous ne comprenons pas ce positionnement. Nous souhaitons que le schéma fasse l’objet d’une révision permettant de tenir compte de cette remarque.</w:t>
      </w:r>
    </w:p>
    <w:p w14:paraId="685AFA21" w14:textId="498D010F" w:rsidR="00711B37" w:rsidRPr="00560AFA" w:rsidRDefault="00062F64" w:rsidP="00AF46EC">
      <w:pPr>
        <w:pStyle w:val="Sansinterligne"/>
        <w:ind w:left="360"/>
        <w:rPr>
          <w:rFonts w:ascii="Raleway" w:hAnsi="Raleway"/>
          <w:lang w:val="fr-FR"/>
        </w:rPr>
      </w:pPr>
      <w:r>
        <w:rPr>
          <w:rFonts w:ascii="Calibri" w:hAnsi="Calibri" w:cs="Calibri"/>
          <w:sz w:val="22"/>
          <w:szCs w:val="22"/>
          <w:bdr w:val="none" w:sz="0" w:space="0" w:color="auto"/>
          <w:lang w:val="fr-FR"/>
        </w:rPr>
        <w:t>Si les services de e-prescription sont portés par la CNAM à travers le serveur qu’elle met en place, les services de dématérialisation sont intégralement portés par les éditeurs aux fins d’alimentation de ce serveur et du DMP. Nous souhaitons que le schéma fasse ’objet d’une révision permettant de tenir compte de cette remarque.</w:t>
      </w:r>
      <w:r w:rsidR="00FD03AB">
        <w:rPr>
          <w:rFonts w:ascii="Calibri" w:hAnsi="Calibri" w:cs="Calibri"/>
          <w:sz w:val="22"/>
          <w:szCs w:val="22"/>
          <w:bdr w:val="none" w:sz="0" w:space="0" w:color="auto"/>
          <w:lang w:val="fr-FR"/>
        </w:rPr>
        <w:t xml:space="preserve"> </w:t>
      </w:r>
    </w:p>
    <w:p w14:paraId="55AB8B03" w14:textId="1D5AB8B9" w:rsidR="00062F64" w:rsidRDefault="00062F64" w:rsidP="076A1439">
      <w:pPr>
        <w:pStyle w:val="Corps"/>
        <w:rPr>
          <w:rFonts w:ascii="Raleway" w:hAnsi="Raleway"/>
        </w:rPr>
      </w:pPr>
    </w:p>
    <w:p w14:paraId="33E7B038" w14:textId="327C14F1" w:rsidR="008C64DC" w:rsidRDefault="008C64DC" w:rsidP="00744E85">
      <w:pPr>
        <w:pStyle w:val="Sansinterligne"/>
        <w:numPr>
          <w:ilvl w:val="0"/>
          <w:numId w:val="13"/>
        </w:numPr>
        <w:rPr>
          <w:rFonts w:ascii="Calibri" w:hAnsi="Calibri" w:cs="Calibri"/>
          <w:sz w:val="22"/>
          <w:szCs w:val="22"/>
          <w:bdr w:val="none" w:sz="0" w:space="0" w:color="auto"/>
          <w:lang w:val="fr-FR"/>
        </w:rPr>
      </w:pPr>
      <w:r>
        <w:rPr>
          <w:rFonts w:ascii="Calibri" w:hAnsi="Calibri" w:cs="Calibri"/>
          <w:sz w:val="22"/>
          <w:szCs w:val="22"/>
          <w:bdr w:val="none" w:sz="0" w:space="0" w:color="auto"/>
          <w:lang w:val="fr-FR"/>
        </w:rPr>
        <w:t>Système de pilotage métier</w:t>
      </w:r>
    </w:p>
    <w:p w14:paraId="5A60118F" w14:textId="27C0419F" w:rsidR="008C64DC" w:rsidRDefault="008C64DC" w:rsidP="008C64DC">
      <w:pPr>
        <w:pStyle w:val="Sansinterligne"/>
        <w:ind w:left="36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Nous avons bien noté la matérialisation des mécanismes d’alimentation des différentes plateformes de données à partir des données produites par l’écosystème (flèches « extractions »).</w:t>
      </w:r>
    </w:p>
    <w:p w14:paraId="2970BD07" w14:textId="2C65F2BF" w:rsidR="00615688" w:rsidRDefault="00FD03AB" w:rsidP="00615688">
      <w:pPr>
        <w:pStyle w:val="Sansinterligne"/>
        <w:ind w:left="360"/>
        <w:rPr>
          <w:rFonts w:ascii="Calibri" w:hAnsi="Calibri" w:cs="Calibri"/>
          <w:sz w:val="22"/>
          <w:szCs w:val="22"/>
          <w:bdr w:val="none" w:sz="0" w:space="0" w:color="auto"/>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23104" behindDoc="0" locked="0" layoutInCell="1" allowOverlap="1" wp14:anchorId="2AB910E1" wp14:editId="27E496ED">
            <wp:simplePos x="0" y="0"/>
            <wp:positionH relativeFrom="column">
              <wp:posOffset>-30953</wp:posOffset>
            </wp:positionH>
            <wp:positionV relativeFrom="paragraph">
              <wp:posOffset>12700</wp:posOffset>
            </wp:positionV>
            <wp:extent cx="228600" cy="228600"/>
            <wp:effectExtent l="25400" t="12700" r="76200" b="63500"/>
            <wp:wrapNone/>
            <wp:docPr id="18" name="Graphique 1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C64DC">
        <w:rPr>
          <w:rFonts w:ascii="Calibri" w:hAnsi="Calibri" w:cs="Calibri"/>
          <w:sz w:val="22"/>
          <w:szCs w:val="22"/>
          <w:bdr w:val="none" w:sz="0" w:space="0" w:color="auto"/>
          <w:lang w:val="fr-FR"/>
        </w:rPr>
        <w:t>Nous revendiquons l’ajout de flux de mise à disposition de données issues des entrepôts aux acteurs industriels producteurs de services numériques.</w:t>
      </w:r>
      <w:r w:rsidR="00A25F5E">
        <w:rPr>
          <w:rFonts w:ascii="Calibri" w:hAnsi="Calibri" w:cs="Calibri"/>
          <w:sz w:val="22"/>
          <w:szCs w:val="22"/>
          <w:bdr w:val="none" w:sz="0" w:space="0" w:color="auto"/>
          <w:lang w:val="fr-FR"/>
        </w:rPr>
        <w:t xml:space="preserve"> Il s’agit incontestablement d’un vecteur de développement de services à valeur ajoutée dont ne peuvent être exclus les acteurs de la sphère industrielle.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615688" w:rsidRPr="00245C0F" w14:paraId="31F1F122" w14:textId="77777777" w:rsidTr="007A0996">
        <w:tc>
          <w:tcPr>
            <w:tcW w:w="9628" w:type="dxa"/>
            <w:shd w:val="clear" w:color="auto" w:fill="0081A2"/>
          </w:tcPr>
          <w:p w14:paraId="4B92BF1E" w14:textId="77777777" w:rsidR="00615688" w:rsidRPr="00245C0F" w:rsidRDefault="00615688" w:rsidP="007A0996">
            <w:pPr>
              <w:jc w:val="center"/>
              <w:rPr>
                <w:rFonts w:ascii="Raleway" w:hAnsi="Raleway"/>
              </w:rPr>
            </w:pPr>
          </w:p>
          <w:p w14:paraId="57BABD03" w14:textId="664B2FBD" w:rsidR="00615688" w:rsidRPr="00245C0F" w:rsidRDefault="00615688" w:rsidP="007A0996">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Éthique</w:t>
            </w:r>
          </w:p>
        </w:tc>
      </w:tr>
      <w:tr w:rsidR="00615688" w:rsidRPr="00245C0F" w14:paraId="4056E1BD" w14:textId="77777777" w:rsidTr="007A0996">
        <w:tc>
          <w:tcPr>
            <w:tcW w:w="9628" w:type="dxa"/>
            <w:shd w:val="clear" w:color="auto" w:fill="0081A2"/>
          </w:tcPr>
          <w:p w14:paraId="29BC8569" w14:textId="77777777" w:rsidR="00615688" w:rsidRPr="00245C0F" w:rsidRDefault="00615688" w:rsidP="007A0996">
            <w:pPr>
              <w:pStyle w:val="Corps"/>
              <w:rPr>
                <w:rFonts w:ascii="Raleway" w:hAnsi="Raleway"/>
              </w:rPr>
            </w:pPr>
          </w:p>
        </w:tc>
      </w:tr>
    </w:tbl>
    <w:p w14:paraId="5E1E4D92" w14:textId="601EEC45" w:rsidR="00615688" w:rsidRDefault="00615688" w:rsidP="00CF6269">
      <w:pPr>
        <w:pStyle w:val="Sansinterligne"/>
        <w:rPr>
          <w:rFonts w:ascii="Calibri" w:hAnsi="Calibri" w:cs="Calibri"/>
          <w:sz w:val="22"/>
          <w:szCs w:val="22"/>
          <w:bdr w:val="none" w:sz="0" w:space="0" w:color="auto"/>
          <w:lang w:val="fr-FR"/>
        </w:rPr>
      </w:pPr>
    </w:p>
    <w:p w14:paraId="192E3E9B" w14:textId="2E6AAC94" w:rsidR="00CF6269" w:rsidRDefault="009F2D39" w:rsidP="00CF6269">
      <w:pPr>
        <w:pStyle w:val="Sansinterligne"/>
        <w:rPr>
          <w:rFonts w:ascii="Calibri" w:hAnsi="Calibri" w:cs="Calibri"/>
          <w:sz w:val="22"/>
          <w:szCs w:val="22"/>
          <w:bdr w:val="none" w:sz="0" w:space="0" w:color="auto"/>
          <w:lang w:val="fr-FR"/>
        </w:rPr>
      </w:pPr>
      <w:r>
        <w:rPr>
          <w:rFonts w:ascii="Calibri" w:hAnsi="Calibri" w:cs="Calibri"/>
          <w:sz w:val="22"/>
          <w:szCs w:val="22"/>
          <w:bdr w:val="none" w:sz="0" w:space="0" w:color="auto"/>
          <w:lang w:val="fr-FR"/>
        </w:rPr>
        <w:t xml:space="preserve">La FEIMA </w:t>
      </w:r>
      <w:r w:rsidR="00715D8A">
        <w:rPr>
          <w:rFonts w:ascii="Calibri" w:hAnsi="Calibri" w:cs="Calibri"/>
          <w:sz w:val="22"/>
          <w:szCs w:val="22"/>
          <w:bdr w:val="none" w:sz="0" w:space="0" w:color="auto"/>
          <w:lang w:val="fr-FR"/>
        </w:rPr>
        <w:t xml:space="preserve">souscrit pleinement à la démarche </w:t>
      </w:r>
      <w:r>
        <w:rPr>
          <w:rFonts w:ascii="Calibri" w:hAnsi="Calibri" w:cs="Calibri"/>
          <w:sz w:val="22"/>
          <w:szCs w:val="22"/>
          <w:bdr w:val="none" w:sz="0" w:space="0" w:color="auto"/>
          <w:lang w:val="fr-FR"/>
        </w:rPr>
        <w:t xml:space="preserve">de mise en place d’une cellule en charge de l’éthique du numérique en santé et de déclinaison des différents axes </w:t>
      </w:r>
      <w:r w:rsidR="00194F88">
        <w:rPr>
          <w:rFonts w:ascii="Calibri" w:hAnsi="Calibri" w:cs="Calibri"/>
          <w:sz w:val="22"/>
          <w:szCs w:val="22"/>
          <w:bdr w:val="none" w:sz="0" w:space="0" w:color="auto"/>
          <w:lang w:val="fr-FR"/>
        </w:rPr>
        <w:t xml:space="preserve">identifiés, </w:t>
      </w:r>
      <w:r>
        <w:rPr>
          <w:rFonts w:ascii="Calibri" w:hAnsi="Calibri" w:cs="Calibri"/>
          <w:sz w:val="22"/>
          <w:szCs w:val="22"/>
          <w:bdr w:val="none" w:sz="0" w:space="0" w:color="auto"/>
          <w:lang w:val="fr-FR"/>
        </w:rPr>
        <w:t>à travers les groupes de travail ci-après</w:t>
      </w:r>
      <w:r w:rsidR="00715D8A">
        <w:rPr>
          <w:rFonts w:ascii="Calibri" w:hAnsi="Calibri" w:cs="Calibri"/>
          <w:sz w:val="22"/>
          <w:szCs w:val="22"/>
          <w:bdr w:val="none" w:sz="0" w:space="0" w:color="auto"/>
          <w:lang w:val="fr-FR"/>
        </w:rPr>
        <w:t xml:space="preserve"> (présentation de l’avancement de la feuille de route du virage numérique de décembre 2019)</w:t>
      </w:r>
      <w:r>
        <w:rPr>
          <w:rFonts w:ascii="Calibri" w:hAnsi="Calibri" w:cs="Calibri"/>
          <w:sz w:val="22"/>
          <w:szCs w:val="22"/>
          <w:bdr w:val="none" w:sz="0" w:space="0" w:color="auto"/>
          <w:lang w:val="fr-FR"/>
        </w:rPr>
        <w:t>.</w:t>
      </w:r>
    </w:p>
    <w:p w14:paraId="76301F72" w14:textId="77777777" w:rsidR="009F2D39" w:rsidRDefault="009F2D39" w:rsidP="00CF6269">
      <w:pPr>
        <w:pStyle w:val="Sansinterligne"/>
        <w:rPr>
          <w:rFonts w:ascii="Calibri" w:hAnsi="Calibri" w:cs="Calibri"/>
          <w:sz w:val="22"/>
          <w:szCs w:val="22"/>
          <w:bdr w:val="none" w:sz="0" w:space="0" w:color="auto"/>
          <w:lang w:val="fr-FR"/>
        </w:rPr>
      </w:pPr>
    </w:p>
    <w:p w14:paraId="5A569D01" w14:textId="10DC99FF" w:rsidR="00CF6269" w:rsidRDefault="00CF6269" w:rsidP="009E1E1A">
      <w:pPr>
        <w:pStyle w:val="Sansinterligne"/>
        <w:numPr>
          <w:ilvl w:val="0"/>
          <w:numId w:val="13"/>
        </w:numPr>
        <w:rPr>
          <w:rFonts w:ascii="Calibri" w:hAnsi="Calibri" w:cs="Calibri"/>
          <w:sz w:val="22"/>
          <w:szCs w:val="22"/>
          <w:bdr w:val="none" w:sz="0" w:space="0" w:color="auto"/>
          <w:lang w:val="fr-FR"/>
        </w:rPr>
      </w:pPr>
      <w:r>
        <w:rPr>
          <w:rFonts w:ascii="Calibri" w:hAnsi="Calibri" w:cs="Calibri"/>
          <w:sz w:val="22"/>
          <w:szCs w:val="22"/>
          <w:bdr w:val="none" w:sz="0" w:space="0" w:color="auto"/>
          <w:lang w:val="fr-FR"/>
        </w:rPr>
        <w:t>GT1 : film de sensibilisation pour les usagers (15 membres – 2 réunions – pilote : Guillaume de Durat)</w:t>
      </w:r>
    </w:p>
    <w:p w14:paraId="7A0C98E2" w14:textId="69296C56" w:rsidR="00CF6269" w:rsidRDefault="00CF6269" w:rsidP="009E1E1A">
      <w:pPr>
        <w:pStyle w:val="Sansinterligne"/>
        <w:numPr>
          <w:ilvl w:val="0"/>
          <w:numId w:val="13"/>
        </w:numPr>
        <w:rPr>
          <w:rFonts w:ascii="Calibri" w:hAnsi="Calibri" w:cs="Calibri"/>
          <w:sz w:val="22"/>
          <w:szCs w:val="22"/>
          <w:bdr w:val="none" w:sz="0" w:space="0" w:color="auto"/>
          <w:lang w:val="fr-FR"/>
        </w:rPr>
      </w:pPr>
      <w:r>
        <w:rPr>
          <w:rFonts w:ascii="Calibri" w:hAnsi="Calibri" w:cs="Calibri"/>
          <w:sz w:val="22"/>
          <w:szCs w:val="22"/>
          <w:bdr w:val="none" w:sz="0" w:space="0" w:color="auto"/>
          <w:lang w:val="fr-FR"/>
        </w:rPr>
        <w:t>GT2 : grille de l’auto-évaluation de l’éthique des SIH pour les ES (20 membres – 2 réunions – pilote : Jérôme Béranger)</w:t>
      </w:r>
    </w:p>
    <w:p w14:paraId="1D2AEEED" w14:textId="545415F3" w:rsidR="00CF6269" w:rsidRDefault="00CF6269" w:rsidP="009E1E1A">
      <w:pPr>
        <w:pStyle w:val="Sansinterligne"/>
        <w:numPr>
          <w:ilvl w:val="0"/>
          <w:numId w:val="13"/>
        </w:numPr>
        <w:rPr>
          <w:rFonts w:ascii="Calibri" w:hAnsi="Calibri" w:cs="Calibri"/>
          <w:sz w:val="22"/>
          <w:szCs w:val="22"/>
          <w:bdr w:val="none" w:sz="0" w:space="0" w:color="auto"/>
          <w:lang w:val="fr-FR"/>
        </w:rPr>
      </w:pPr>
      <w:r w:rsidRPr="00CF6269">
        <w:rPr>
          <w:rFonts w:ascii="Calibri" w:hAnsi="Calibri" w:cs="Calibri"/>
          <w:sz w:val="22"/>
          <w:szCs w:val="22"/>
          <w:bdr w:val="none" w:sz="0" w:space="0" w:color="auto"/>
          <w:lang w:val="fr-FR"/>
        </w:rPr>
        <w:t>GT3 : guide « éthique by design en IA</w:t>
      </w:r>
      <w:r w:rsidR="004E3961">
        <w:rPr>
          <w:rFonts w:ascii="Calibri" w:hAnsi="Calibri" w:cs="Calibri"/>
          <w:sz w:val="22"/>
          <w:szCs w:val="22"/>
          <w:bdr w:val="none" w:sz="0" w:space="0" w:color="auto"/>
          <w:lang w:val="fr-FR"/>
        </w:rPr>
        <w:t> »</w:t>
      </w:r>
      <w:r w:rsidRPr="00CF6269">
        <w:rPr>
          <w:rFonts w:ascii="Calibri" w:hAnsi="Calibri" w:cs="Calibri"/>
          <w:sz w:val="22"/>
          <w:szCs w:val="22"/>
          <w:bdr w:val="none" w:sz="0" w:space="0" w:color="auto"/>
          <w:lang w:val="fr-FR"/>
        </w:rPr>
        <w:t xml:space="preserve"> pour les </w:t>
      </w:r>
      <w:r>
        <w:rPr>
          <w:rFonts w:ascii="Calibri" w:hAnsi="Calibri" w:cs="Calibri"/>
          <w:sz w:val="22"/>
          <w:szCs w:val="22"/>
          <w:bdr w:val="none" w:sz="0" w:space="0" w:color="auto"/>
          <w:lang w:val="fr-FR"/>
        </w:rPr>
        <w:t>industriels (40 participants – 2 réunions – pilote : David Gruson)</w:t>
      </w:r>
    </w:p>
    <w:p w14:paraId="3961E5FF" w14:textId="2977E7A7" w:rsidR="00CF6269" w:rsidRDefault="00CF6269" w:rsidP="009E1E1A">
      <w:pPr>
        <w:pStyle w:val="Sansinterligne"/>
        <w:numPr>
          <w:ilvl w:val="0"/>
          <w:numId w:val="13"/>
        </w:numPr>
        <w:rPr>
          <w:rFonts w:ascii="Calibri" w:hAnsi="Calibri" w:cs="Calibri"/>
          <w:sz w:val="22"/>
          <w:szCs w:val="22"/>
          <w:bdr w:val="none" w:sz="0" w:space="0" w:color="auto"/>
          <w:lang w:val="fr-FR"/>
        </w:rPr>
      </w:pPr>
      <w:r>
        <w:rPr>
          <w:rFonts w:ascii="Calibri" w:hAnsi="Calibri" w:cs="Calibri"/>
          <w:sz w:val="22"/>
          <w:szCs w:val="22"/>
          <w:bdr w:val="none" w:sz="0" w:space="0" w:color="auto"/>
          <w:lang w:val="fr-FR"/>
        </w:rPr>
        <w:t>GT4 : code de e-déontologie pour les professionnels de santé (40 participants – 2 réunions – pilote : Stéphane Oustric)</w:t>
      </w:r>
    </w:p>
    <w:p w14:paraId="77FEAF68" w14:textId="1D345585" w:rsidR="00CF6269" w:rsidRDefault="00CF6269" w:rsidP="009E1E1A">
      <w:pPr>
        <w:pStyle w:val="Sansinterligne"/>
        <w:numPr>
          <w:ilvl w:val="0"/>
          <w:numId w:val="13"/>
        </w:numPr>
        <w:rPr>
          <w:rFonts w:ascii="Calibri" w:hAnsi="Calibri" w:cs="Calibri"/>
          <w:sz w:val="22"/>
          <w:szCs w:val="22"/>
          <w:bdr w:val="none" w:sz="0" w:space="0" w:color="auto"/>
          <w:lang w:val="fr-FR"/>
        </w:rPr>
      </w:pPr>
      <w:r>
        <w:rPr>
          <w:rFonts w:ascii="Calibri" w:hAnsi="Calibri" w:cs="Calibri"/>
          <w:sz w:val="22"/>
          <w:szCs w:val="22"/>
          <w:bdr w:val="none" w:sz="0" w:space="0" w:color="auto"/>
          <w:lang w:val="fr-FR"/>
        </w:rPr>
        <w:t>GT5 : journées régionales « éthique du numérique en santé » (5 journées planifiées – pilote : Jean Louis Fraysse)</w:t>
      </w:r>
    </w:p>
    <w:p w14:paraId="7BC1A242" w14:textId="21375FA9" w:rsidR="00CF6269" w:rsidRDefault="00CF6269" w:rsidP="009E1E1A">
      <w:pPr>
        <w:pStyle w:val="Sansinterligne"/>
        <w:numPr>
          <w:ilvl w:val="0"/>
          <w:numId w:val="13"/>
        </w:numPr>
        <w:rPr>
          <w:rFonts w:ascii="Calibri" w:hAnsi="Calibri" w:cs="Calibri"/>
          <w:sz w:val="22"/>
          <w:szCs w:val="22"/>
          <w:bdr w:val="none" w:sz="0" w:space="0" w:color="auto"/>
          <w:lang w:val="fr-FR"/>
        </w:rPr>
      </w:pPr>
      <w:r>
        <w:rPr>
          <w:rFonts w:ascii="Calibri" w:hAnsi="Calibri" w:cs="Calibri"/>
          <w:sz w:val="22"/>
          <w:szCs w:val="22"/>
          <w:bdr w:val="none" w:sz="0" w:space="0" w:color="auto"/>
          <w:lang w:val="fr-FR"/>
        </w:rPr>
        <w:t>GT6 : sobriété du numérique et développement durable</w:t>
      </w:r>
    </w:p>
    <w:p w14:paraId="645D9269" w14:textId="18A1D7AE" w:rsidR="00CF6269" w:rsidRDefault="00CF6269" w:rsidP="009E1E1A">
      <w:pPr>
        <w:pStyle w:val="Sansinterligne"/>
        <w:numPr>
          <w:ilvl w:val="0"/>
          <w:numId w:val="13"/>
        </w:numPr>
        <w:rPr>
          <w:rFonts w:ascii="Calibri" w:hAnsi="Calibri" w:cs="Calibri"/>
          <w:sz w:val="22"/>
          <w:szCs w:val="22"/>
          <w:bdr w:val="none" w:sz="0" w:space="0" w:color="auto"/>
          <w:lang w:val="fr-FR"/>
        </w:rPr>
      </w:pPr>
      <w:r>
        <w:rPr>
          <w:rFonts w:ascii="Calibri" w:hAnsi="Calibri" w:cs="Calibri"/>
          <w:sz w:val="22"/>
          <w:szCs w:val="22"/>
          <w:bdr w:val="none" w:sz="0" w:space="0" w:color="auto"/>
          <w:lang w:val="fr-FR"/>
        </w:rPr>
        <w:t>GT7 : grille d’auto-évaluation de l’éthique dans les LGC pour les éditeurs (en construction)</w:t>
      </w:r>
    </w:p>
    <w:p w14:paraId="13DBF04D" w14:textId="779E7563" w:rsidR="00CF6269" w:rsidRPr="009F2D39" w:rsidRDefault="00CF6269" w:rsidP="00CF6269">
      <w:pPr>
        <w:pStyle w:val="Sansinterligne"/>
        <w:rPr>
          <w:rFonts w:ascii="Calibri" w:hAnsi="Calibri" w:cs="Calibri"/>
          <w:bCs/>
          <w:sz w:val="22"/>
          <w:szCs w:val="22"/>
          <w:bdr w:val="none" w:sz="0" w:space="0" w:color="auto"/>
          <w:lang w:val="fr-FR"/>
        </w:rPr>
      </w:pPr>
    </w:p>
    <w:p w14:paraId="0FAE0784" w14:textId="6C4D784C" w:rsidR="00E35A42" w:rsidRDefault="000D429F" w:rsidP="00E35A42">
      <w:pPr>
        <w:pStyle w:val="Sansinterligne"/>
        <w:rPr>
          <w:rFonts w:ascii="Calibri" w:hAnsi="Calibri" w:cs="Calibri"/>
          <w:bCs/>
          <w:sz w:val="22"/>
          <w:szCs w:val="22"/>
          <w:bdr w:val="none" w:sz="0" w:space="0" w:color="auto"/>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30272" behindDoc="0" locked="0" layoutInCell="1" allowOverlap="1" wp14:anchorId="03B2E4F8" wp14:editId="519FD57F">
            <wp:simplePos x="0" y="0"/>
            <wp:positionH relativeFrom="column">
              <wp:posOffset>-259171</wp:posOffset>
            </wp:positionH>
            <wp:positionV relativeFrom="paragraph">
              <wp:posOffset>102870</wp:posOffset>
            </wp:positionV>
            <wp:extent cx="228600" cy="228600"/>
            <wp:effectExtent l="25400" t="12700" r="76200" b="63500"/>
            <wp:wrapNone/>
            <wp:docPr id="8" name="Graphique 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bCs/>
          <w:sz w:val="22"/>
          <w:szCs w:val="22"/>
          <w:bdr w:val="none" w:sz="0" w:space="0" w:color="auto"/>
          <w:lang w:val="fr-FR"/>
        </w:rPr>
        <w:t xml:space="preserve">Si la présentation de l’avancement de la feuille de route du virage numérique en santé (décembre 2019) fait état du GT7, nous notons que la trajectoire présentée dans le chapitre 2.1 de la doctrine n’y fait pas référence. Il nous semble </w:t>
      </w:r>
      <w:r w:rsidR="0000340F">
        <w:rPr>
          <w:rFonts w:ascii="Calibri" w:hAnsi="Calibri" w:cs="Calibri"/>
          <w:bCs/>
          <w:sz w:val="22"/>
          <w:szCs w:val="22"/>
          <w:bdr w:val="none" w:sz="0" w:space="0" w:color="auto"/>
          <w:lang w:val="fr-FR"/>
        </w:rPr>
        <w:t>d’autant plus</w:t>
      </w:r>
      <w:r>
        <w:rPr>
          <w:rFonts w:ascii="Calibri" w:hAnsi="Calibri" w:cs="Calibri"/>
          <w:bCs/>
          <w:sz w:val="22"/>
          <w:szCs w:val="22"/>
          <w:bdr w:val="none" w:sz="0" w:space="0" w:color="auto"/>
          <w:lang w:val="fr-FR"/>
        </w:rPr>
        <w:t xml:space="preserve"> nécessaire de compléter le chapitre de la doctrine dans ce sens</w:t>
      </w:r>
      <w:r w:rsidR="0000340F">
        <w:rPr>
          <w:rFonts w:ascii="Calibri" w:hAnsi="Calibri" w:cs="Calibri"/>
          <w:bCs/>
          <w:sz w:val="22"/>
          <w:szCs w:val="22"/>
          <w:bdr w:val="none" w:sz="0" w:space="0" w:color="auto"/>
          <w:lang w:val="fr-FR"/>
        </w:rPr>
        <w:t>, que nous ne sommes pas représentés au sein du GT2 alors que nous sommes totalement partie prenante des questions abordées.</w:t>
      </w:r>
    </w:p>
    <w:p w14:paraId="78EC4221" w14:textId="730CED59" w:rsidR="000D429F" w:rsidRDefault="000D429F" w:rsidP="00E35A42">
      <w:pPr>
        <w:pStyle w:val="Sansinterligne"/>
        <w:rPr>
          <w:rFonts w:ascii="Calibri" w:hAnsi="Calibri" w:cs="Calibri"/>
          <w:bCs/>
          <w:sz w:val="22"/>
          <w:szCs w:val="22"/>
          <w:bdr w:val="none" w:sz="0" w:space="0" w:color="auto"/>
          <w:lang w:val="fr-FR"/>
        </w:rPr>
      </w:pPr>
    </w:p>
    <w:p w14:paraId="36F086CA" w14:textId="77777777" w:rsidR="00504CC6" w:rsidRDefault="00114EE3" w:rsidP="00E35A42">
      <w:pPr>
        <w:pStyle w:val="Sansinterligne"/>
        <w:rPr>
          <w:rFonts w:ascii="Calibri" w:hAnsi="Calibri" w:cs="Calibri"/>
          <w:bCs/>
          <w:sz w:val="22"/>
          <w:szCs w:val="22"/>
          <w:bdr w:val="none" w:sz="0" w:space="0" w:color="auto"/>
          <w:lang w:val="fr-FR"/>
        </w:rPr>
      </w:pPr>
      <w:r>
        <w:rPr>
          <w:rFonts w:ascii="Calibri" w:hAnsi="Calibri" w:cs="Calibri"/>
          <w:bCs/>
          <w:sz w:val="22"/>
          <w:szCs w:val="22"/>
          <w:bdr w:val="none" w:sz="0" w:space="0" w:color="auto"/>
          <w:lang w:val="fr-FR"/>
        </w:rPr>
        <w:t>Les éditeurs de la FEIMA, f</w:t>
      </w:r>
      <w:r w:rsidR="007A0996">
        <w:rPr>
          <w:rFonts w:ascii="Calibri" w:hAnsi="Calibri" w:cs="Calibri"/>
          <w:bCs/>
          <w:sz w:val="22"/>
          <w:szCs w:val="22"/>
          <w:bdr w:val="none" w:sz="0" w:space="0" w:color="auto"/>
          <w:lang w:val="fr-FR"/>
        </w:rPr>
        <w:t xml:space="preserve">édération représentative </w:t>
      </w:r>
      <w:r>
        <w:rPr>
          <w:rFonts w:ascii="Calibri" w:hAnsi="Calibri" w:cs="Calibri"/>
          <w:bCs/>
          <w:sz w:val="22"/>
          <w:szCs w:val="22"/>
          <w:bdr w:val="none" w:sz="0" w:space="0" w:color="auto"/>
          <w:lang w:val="fr-FR"/>
        </w:rPr>
        <w:t xml:space="preserve">qui équipe </w:t>
      </w:r>
      <w:r w:rsidR="007A0996">
        <w:rPr>
          <w:rFonts w:ascii="Calibri" w:hAnsi="Calibri" w:cs="Calibri"/>
          <w:bCs/>
          <w:sz w:val="22"/>
          <w:szCs w:val="22"/>
          <w:bdr w:val="none" w:sz="0" w:space="0" w:color="auto"/>
          <w:lang w:val="fr-FR"/>
        </w:rPr>
        <w:t>près de 300.000 professionnels de santé français (plus d’1,5 million dans le monde), développe</w:t>
      </w:r>
      <w:r>
        <w:rPr>
          <w:rFonts w:ascii="Calibri" w:hAnsi="Calibri" w:cs="Calibri"/>
          <w:bCs/>
          <w:sz w:val="22"/>
          <w:szCs w:val="22"/>
          <w:bdr w:val="none" w:sz="0" w:space="0" w:color="auto"/>
          <w:lang w:val="fr-FR"/>
        </w:rPr>
        <w:t>nt</w:t>
      </w:r>
      <w:r w:rsidR="007A0996">
        <w:rPr>
          <w:rFonts w:ascii="Calibri" w:hAnsi="Calibri" w:cs="Calibri"/>
          <w:bCs/>
          <w:sz w:val="22"/>
          <w:szCs w:val="22"/>
          <w:bdr w:val="none" w:sz="0" w:space="0" w:color="auto"/>
          <w:lang w:val="fr-FR"/>
        </w:rPr>
        <w:t xml:space="preserve"> et distribue</w:t>
      </w:r>
      <w:r>
        <w:rPr>
          <w:rFonts w:ascii="Calibri" w:hAnsi="Calibri" w:cs="Calibri"/>
          <w:bCs/>
          <w:sz w:val="22"/>
          <w:szCs w:val="22"/>
          <w:bdr w:val="none" w:sz="0" w:space="0" w:color="auto"/>
          <w:lang w:val="fr-FR"/>
        </w:rPr>
        <w:t>nt</w:t>
      </w:r>
      <w:r w:rsidR="007A0996">
        <w:rPr>
          <w:rFonts w:ascii="Calibri" w:hAnsi="Calibri" w:cs="Calibri"/>
          <w:bCs/>
          <w:sz w:val="22"/>
          <w:szCs w:val="22"/>
          <w:bdr w:val="none" w:sz="0" w:space="0" w:color="auto"/>
          <w:lang w:val="fr-FR"/>
        </w:rPr>
        <w:t xml:space="preserve"> des services </w:t>
      </w:r>
      <w:r>
        <w:rPr>
          <w:rFonts w:ascii="Calibri" w:hAnsi="Calibri" w:cs="Calibri"/>
          <w:bCs/>
          <w:sz w:val="22"/>
          <w:szCs w:val="22"/>
          <w:bdr w:val="none" w:sz="0" w:space="0" w:color="auto"/>
          <w:lang w:val="fr-FR"/>
        </w:rPr>
        <w:t xml:space="preserve">numériques </w:t>
      </w:r>
      <w:r w:rsidR="007A0996">
        <w:rPr>
          <w:rFonts w:ascii="Calibri" w:hAnsi="Calibri" w:cs="Calibri"/>
          <w:bCs/>
          <w:sz w:val="22"/>
          <w:szCs w:val="22"/>
          <w:bdr w:val="none" w:sz="0" w:space="0" w:color="auto"/>
          <w:lang w:val="fr-FR"/>
        </w:rPr>
        <w:t>dans un souci permanent</w:t>
      </w:r>
      <w:r w:rsidR="00504CC6">
        <w:rPr>
          <w:rFonts w:ascii="Calibri" w:hAnsi="Calibri" w:cs="Calibri"/>
          <w:bCs/>
          <w:sz w:val="22"/>
          <w:szCs w:val="22"/>
          <w:bdr w:val="none" w:sz="0" w:space="0" w:color="auto"/>
          <w:lang w:val="fr-FR"/>
        </w:rPr>
        <w:t> :</w:t>
      </w:r>
    </w:p>
    <w:p w14:paraId="51FA6558" w14:textId="32884613" w:rsidR="007A0996" w:rsidRDefault="00504CC6" w:rsidP="00504CC6">
      <w:pPr>
        <w:pStyle w:val="Sansinterligne"/>
        <w:numPr>
          <w:ilvl w:val="0"/>
          <w:numId w:val="17"/>
        </w:numPr>
        <w:rPr>
          <w:rFonts w:ascii="Calibri" w:hAnsi="Calibri" w:cs="Calibri"/>
          <w:bCs/>
          <w:sz w:val="22"/>
          <w:szCs w:val="22"/>
          <w:bdr w:val="none" w:sz="0" w:space="0" w:color="auto"/>
          <w:lang w:val="fr-FR"/>
        </w:rPr>
      </w:pPr>
      <w:proofErr w:type="gramStart"/>
      <w:r>
        <w:rPr>
          <w:rFonts w:ascii="Calibri" w:hAnsi="Calibri" w:cs="Calibri"/>
          <w:bCs/>
          <w:sz w:val="22"/>
          <w:szCs w:val="22"/>
          <w:bdr w:val="none" w:sz="0" w:space="0" w:color="auto"/>
          <w:lang w:val="fr-FR"/>
        </w:rPr>
        <w:t>de</w:t>
      </w:r>
      <w:proofErr w:type="gramEnd"/>
      <w:r w:rsidR="007A0996">
        <w:rPr>
          <w:rFonts w:ascii="Calibri" w:hAnsi="Calibri" w:cs="Calibri"/>
          <w:bCs/>
          <w:sz w:val="22"/>
          <w:szCs w:val="22"/>
          <w:bdr w:val="none" w:sz="0" w:space="0" w:color="auto"/>
          <w:lang w:val="fr-FR"/>
        </w:rPr>
        <w:t xml:space="preserve"> respect de la relation</w:t>
      </w:r>
      <w:r>
        <w:rPr>
          <w:rFonts w:ascii="Calibri" w:hAnsi="Calibri" w:cs="Calibri"/>
          <w:bCs/>
          <w:sz w:val="22"/>
          <w:szCs w:val="22"/>
          <w:bdr w:val="none" w:sz="0" w:space="0" w:color="auto"/>
          <w:lang w:val="fr-FR"/>
        </w:rPr>
        <w:t>, et de sa traduction digitale,</w:t>
      </w:r>
      <w:r w:rsidR="007A0996">
        <w:rPr>
          <w:rFonts w:ascii="Calibri" w:hAnsi="Calibri" w:cs="Calibri"/>
          <w:bCs/>
          <w:sz w:val="22"/>
          <w:szCs w:val="22"/>
          <w:bdr w:val="none" w:sz="0" w:space="0" w:color="auto"/>
          <w:lang w:val="fr-FR"/>
        </w:rPr>
        <w:t xml:space="preserve"> entre patients et professionnels de santé et du lien de confiance qui en découle</w:t>
      </w:r>
      <w:r>
        <w:rPr>
          <w:rFonts w:ascii="Calibri" w:hAnsi="Calibri" w:cs="Calibri"/>
          <w:bCs/>
          <w:sz w:val="22"/>
          <w:szCs w:val="22"/>
          <w:bdr w:val="none" w:sz="0" w:space="0" w:color="auto"/>
          <w:lang w:val="fr-FR"/>
        </w:rPr>
        <w:t>,</w:t>
      </w:r>
    </w:p>
    <w:p w14:paraId="1C8FB001" w14:textId="0CFB75BD" w:rsidR="00504CC6" w:rsidRDefault="00504CC6" w:rsidP="00504CC6">
      <w:pPr>
        <w:pStyle w:val="Sansinterligne"/>
        <w:numPr>
          <w:ilvl w:val="0"/>
          <w:numId w:val="17"/>
        </w:numPr>
        <w:rPr>
          <w:rFonts w:ascii="Calibri" w:hAnsi="Calibri" w:cs="Calibri"/>
          <w:bCs/>
          <w:sz w:val="22"/>
          <w:szCs w:val="22"/>
          <w:bdr w:val="none" w:sz="0" w:space="0" w:color="auto"/>
          <w:lang w:val="fr-FR"/>
        </w:rPr>
      </w:pPr>
      <w:proofErr w:type="gramStart"/>
      <w:r>
        <w:rPr>
          <w:rFonts w:ascii="Calibri" w:hAnsi="Calibri" w:cs="Calibri"/>
          <w:bCs/>
          <w:sz w:val="22"/>
          <w:szCs w:val="22"/>
          <w:bdr w:val="none" w:sz="0" w:space="0" w:color="auto"/>
          <w:lang w:val="fr-FR"/>
        </w:rPr>
        <w:t>de</w:t>
      </w:r>
      <w:proofErr w:type="gramEnd"/>
      <w:r>
        <w:rPr>
          <w:rFonts w:ascii="Calibri" w:hAnsi="Calibri" w:cs="Calibri"/>
          <w:bCs/>
          <w:sz w:val="22"/>
          <w:szCs w:val="22"/>
          <w:bdr w:val="none" w:sz="0" w:space="0" w:color="auto"/>
          <w:lang w:val="fr-FR"/>
        </w:rPr>
        <w:t xml:space="preserve"> conformité des services proposés avec les exigences en matière de sécurité et confidentialité des données (RGPD, certification HDS, PGSSI-S),</w:t>
      </w:r>
    </w:p>
    <w:p w14:paraId="75110FDF" w14:textId="0FF8B06D" w:rsidR="00DB2FE3" w:rsidRDefault="00DB2FE3" w:rsidP="00DB2FE3">
      <w:pPr>
        <w:pStyle w:val="Sansinterligne"/>
        <w:numPr>
          <w:ilvl w:val="0"/>
          <w:numId w:val="17"/>
        </w:numPr>
        <w:rPr>
          <w:rFonts w:ascii="Calibri" w:hAnsi="Calibri" w:cs="Calibri"/>
          <w:bCs/>
          <w:sz w:val="22"/>
          <w:szCs w:val="22"/>
          <w:bdr w:val="none" w:sz="0" w:space="0" w:color="auto"/>
          <w:lang w:val="fr-FR"/>
        </w:rPr>
      </w:pPr>
      <w:proofErr w:type="gramStart"/>
      <w:r>
        <w:rPr>
          <w:rFonts w:ascii="Calibri" w:hAnsi="Calibri" w:cs="Calibri"/>
          <w:bCs/>
          <w:sz w:val="22"/>
          <w:szCs w:val="22"/>
          <w:bdr w:val="none" w:sz="0" w:space="0" w:color="auto"/>
          <w:lang w:val="fr-FR"/>
        </w:rPr>
        <w:t>de</w:t>
      </w:r>
      <w:proofErr w:type="gramEnd"/>
      <w:r>
        <w:rPr>
          <w:rFonts w:ascii="Calibri" w:hAnsi="Calibri" w:cs="Calibri"/>
          <w:bCs/>
          <w:sz w:val="22"/>
          <w:szCs w:val="22"/>
          <w:bdr w:val="none" w:sz="0" w:space="0" w:color="auto"/>
          <w:lang w:val="fr-FR"/>
        </w:rPr>
        <w:t xml:space="preserve"> la validation des solutions et services proposés via les dispositifs de mesure de conformité en vigueur (certifications, labellisations, agréments),</w:t>
      </w:r>
    </w:p>
    <w:p w14:paraId="2FFF201D" w14:textId="396EB0B4" w:rsidR="00504CC6" w:rsidRDefault="00504CC6" w:rsidP="00504CC6">
      <w:pPr>
        <w:pStyle w:val="Sansinterligne"/>
        <w:numPr>
          <w:ilvl w:val="0"/>
          <w:numId w:val="17"/>
        </w:numPr>
        <w:rPr>
          <w:rFonts w:ascii="Calibri" w:hAnsi="Calibri" w:cs="Calibri"/>
          <w:bCs/>
          <w:sz w:val="22"/>
          <w:szCs w:val="22"/>
          <w:bdr w:val="none" w:sz="0" w:space="0" w:color="auto"/>
          <w:lang w:val="fr-FR"/>
        </w:rPr>
      </w:pPr>
      <w:proofErr w:type="gramStart"/>
      <w:r>
        <w:rPr>
          <w:rFonts w:ascii="Calibri" w:hAnsi="Calibri" w:cs="Calibri"/>
          <w:bCs/>
          <w:sz w:val="22"/>
          <w:szCs w:val="22"/>
          <w:bdr w:val="none" w:sz="0" w:space="0" w:color="auto"/>
          <w:lang w:val="fr-FR"/>
        </w:rPr>
        <w:t>de</w:t>
      </w:r>
      <w:proofErr w:type="gramEnd"/>
      <w:r>
        <w:rPr>
          <w:rFonts w:ascii="Calibri" w:hAnsi="Calibri" w:cs="Calibri"/>
          <w:bCs/>
          <w:sz w:val="22"/>
          <w:szCs w:val="22"/>
          <w:bdr w:val="none" w:sz="0" w:space="0" w:color="auto"/>
          <w:lang w:val="fr-FR"/>
        </w:rPr>
        <w:t xml:space="preserve"> développement d’algorithmes d’aide à la décision médicale et de prévention personnalisée faisant appel à des référentiels de connaissance et de bonnes pratiques produits par les autorités compétentes et les sociétés savantes reconnues</w:t>
      </w:r>
      <w:r w:rsidR="00DB2FE3">
        <w:rPr>
          <w:rFonts w:ascii="Calibri" w:hAnsi="Calibri" w:cs="Calibri"/>
          <w:bCs/>
          <w:sz w:val="22"/>
          <w:szCs w:val="22"/>
          <w:bdr w:val="none" w:sz="0" w:space="0" w:color="auto"/>
          <w:lang w:val="fr-FR"/>
        </w:rPr>
        <w:t>.</w:t>
      </w:r>
    </w:p>
    <w:p w14:paraId="01C43EA6" w14:textId="56CB2250" w:rsidR="007A0996" w:rsidRDefault="007A0996" w:rsidP="00E35A42">
      <w:pPr>
        <w:pStyle w:val="Sansinterligne"/>
        <w:rPr>
          <w:rFonts w:ascii="Calibri" w:hAnsi="Calibri" w:cs="Calibri"/>
          <w:bCs/>
          <w:sz w:val="22"/>
          <w:szCs w:val="22"/>
          <w:bdr w:val="none" w:sz="0" w:space="0" w:color="auto"/>
          <w:lang w:val="fr-FR"/>
        </w:rPr>
      </w:pPr>
    </w:p>
    <w:p w14:paraId="7F9DF849" w14:textId="49F02E0E" w:rsidR="00DB2FE3" w:rsidRDefault="00DB2FE3" w:rsidP="00E35A42">
      <w:pPr>
        <w:pStyle w:val="Sansinterligne"/>
        <w:rPr>
          <w:rFonts w:ascii="Calibri" w:hAnsi="Calibri" w:cs="Calibri"/>
          <w:bCs/>
          <w:sz w:val="22"/>
          <w:szCs w:val="22"/>
          <w:bdr w:val="none" w:sz="0" w:space="0" w:color="auto"/>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32320" behindDoc="0" locked="0" layoutInCell="1" allowOverlap="1" wp14:anchorId="3C6E553D" wp14:editId="72E15162">
            <wp:simplePos x="0" y="0"/>
            <wp:positionH relativeFrom="column">
              <wp:posOffset>-259715</wp:posOffset>
            </wp:positionH>
            <wp:positionV relativeFrom="paragraph">
              <wp:posOffset>98516</wp:posOffset>
            </wp:positionV>
            <wp:extent cx="228600" cy="228600"/>
            <wp:effectExtent l="25400" t="12700" r="76200" b="63500"/>
            <wp:wrapNone/>
            <wp:docPr id="16" name="Graphique 16"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bCs/>
          <w:sz w:val="22"/>
          <w:szCs w:val="22"/>
          <w:bdr w:val="none" w:sz="0" w:space="0" w:color="auto"/>
          <w:lang w:val="fr-FR"/>
        </w:rPr>
        <w:t>Aussi, nous paraît-il légitime d’être impliqués dans les actions portées par les groupes de travail mis en place, aux premiers rangs desquels le GT3 et le GT7.</w:t>
      </w:r>
    </w:p>
    <w:p w14:paraId="478A5159" w14:textId="43A6D2CB" w:rsidR="00DB2FE3" w:rsidRDefault="00DB2FE3" w:rsidP="00E35A42">
      <w:pPr>
        <w:pStyle w:val="Sansinterligne"/>
        <w:rPr>
          <w:rFonts w:ascii="Calibri" w:hAnsi="Calibri" w:cs="Calibri"/>
          <w:bCs/>
          <w:sz w:val="22"/>
          <w:szCs w:val="22"/>
          <w:bdr w:val="none" w:sz="0" w:space="0" w:color="auto"/>
          <w:lang w:val="fr-FR"/>
        </w:rPr>
      </w:pPr>
      <w:r>
        <w:rPr>
          <w:rFonts w:ascii="Calibri" w:hAnsi="Calibri" w:cs="Calibri"/>
          <w:bCs/>
          <w:sz w:val="22"/>
          <w:szCs w:val="22"/>
          <w:bdr w:val="none" w:sz="0" w:space="0" w:color="auto"/>
          <w:lang w:val="fr-FR"/>
        </w:rPr>
        <w:t>Nous nous tenons à la disposition de la DNS pour mobiliser des experts qui contribueront à l’élaboration des éléments de doctrine ou seront impliqués dans les processus de validation des travaux produits.</w:t>
      </w:r>
    </w:p>
    <w:p w14:paraId="63063DBD" w14:textId="77777777" w:rsidR="00CA501B" w:rsidRDefault="00CA501B" w:rsidP="00E35A42">
      <w:pPr>
        <w:pStyle w:val="Sansinterligne"/>
        <w:rPr>
          <w:rFonts w:ascii="Calibri" w:hAnsi="Calibri" w:cs="Calibri"/>
          <w:bCs/>
          <w:sz w:val="22"/>
          <w:szCs w:val="22"/>
          <w:bdr w:val="none" w:sz="0" w:space="0" w:color="auto"/>
          <w:lang w:val="fr-FR"/>
        </w:rPr>
      </w:pPr>
    </w:p>
    <w:p w14:paraId="15B8C22C" w14:textId="77777777" w:rsidR="00C7376F" w:rsidRDefault="00C7376F" w:rsidP="00E35A42">
      <w:pPr>
        <w:pStyle w:val="Sansinterligne"/>
        <w:rPr>
          <w:rFonts w:ascii="Calibri" w:hAnsi="Calibri" w:cs="Calibri"/>
          <w:bCs/>
          <w:sz w:val="22"/>
          <w:szCs w:val="22"/>
          <w:bdr w:val="none" w:sz="0" w:space="0" w:color="auto"/>
          <w:lang w:val="fr-FR"/>
        </w:rPr>
      </w:pPr>
    </w:p>
    <w:p w14:paraId="096CE502" w14:textId="77777777" w:rsidR="00E35A42" w:rsidRDefault="00E35A42" w:rsidP="00CF6269">
      <w:pPr>
        <w:pStyle w:val="Sansinterligne"/>
        <w:rPr>
          <w:rFonts w:ascii="Calibri" w:hAnsi="Calibri" w:cs="Calibri"/>
          <w:bCs/>
          <w:sz w:val="22"/>
          <w:szCs w:val="22"/>
          <w:bdr w:val="none" w:sz="0" w:space="0" w:color="auto"/>
          <w:lang w:val="fr-FR"/>
        </w:rPr>
      </w:pPr>
    </w:p>
    <w:p w14:paraId="27E4AD57" w14:textId="77777777" w:rsidR="00CF6269" w:rsidRPr="009F2D39" w:rsidRDefault="00CF6269" w:rsidP="00CF6269">
      <w:pPr>
        <w:pStyle w:val="Sansinterligne"/>
        <w:rPr>
          <w:rFonts w:ascii="Calibri" w:hAnsi="Calibri" w:cs="Calibri"/>
          <w:bCs/>
          <w:sz w:val="22"/>
          <w:szCs w:val="22"/>
          <w:bdr w:val="none" w:sz="0" w:space="0" w:color="auto"/>
          <w:lang w:val="fr-FR"/>
        </w:rPr>
      </w:pPr>
    </w:p>
    <w:p w14:paraId="4BBB629A" w14:textId="6EC290D9" w:rsidR="00615688" w:rsidRPr="009F2D39" w:rsidRDefault="00615688" w:rsidP="00CF6269">
      <w:pPr>
        <w:pStyle w:val="Sansinterligne"/>
        <w:rPr>
          <w:rFonts w:ascii="Calibri" w:hAnsi="Calibri" w:cs="Calibri"/>
          <w:bCs/>
          <w:sz w:val="22"/>
          <w:szCs w:val="22"/>
          <w:bdr w:val="none" w:sz="0" w:space="0" w:color="auto"/>
          <w:lang w:val="fr-FR"/>
        </w:rPr>
      </w:pPr>
    </w:p>
    <w:p w14:paraId="393BCC0B" w14:textId="460F9B89" w:rsidR="00615688" w:rsidRPr="00CF6269" w:rsidRDefault="00615688">
      <w:pPr>
        <w:pBdr>
          <w:top w:val="nil"/>
          <w:left w:val="nil"/>
          <w:bottom w:val="nil"/>
          <w:right w:val="nil"/>
          <w:between w:val="nil"/>
          <w:bar w:val="nil"/>
        </w:pBdr>
        <w:rPr>
          <w:rFonts w:ascii="Calibri" w:eastAsia="Arial Unicode MS" w:hAnsi="Calibri" w:cs="Calibri"/>
          <w:sz w:val="22"/>
          <w:szCs w:val="22"/>
          <w:lang w:eastAsia="en-US"/>
        </w:rPr>
      </w:pPr>
      <w:r w:rsidRPr="00CF6269">
        <w:rPr>
          <w:rFonts w:ascii="Calibri" w:hAnsi="Calibri" w:cs="Calibri"/>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C41D9A" w:rsidRPr="00245C0F" w14:paraId="7D29AA94" w14:textId="77777777" w:rsidTr="00F557C7">
        <w:tc>
          <w:tcPr>
            <w:tcW w:w="9628" w:type="dxa"/>
            <w:shd w:val="clear" w:color="auto" w:fill="0081A2"/>
          </w:tcPr>
          <w:p w14:paraId="22AA1A9A" w14:textId="77777777" w:rsidR="00C41D9A" w:rsidRPr="00CF6269" w:rsidRDefault="00C41D9A" w:rsidP="00F557C7">
            <w:pPr>
              <w:jc w:val="center"/>
              <w:rPr>
                <w:rFonts w:ascii="Raleway" w:hAnsi="Raleway"/>
              </w:rPr>
            </w:pPr>
          </w:p>
          <w:p w14:paraId="72CB5285" w14:textId="168314AF" w:rsidR="00C41D9A" w:rsidRPr="00245C0F" w:rsidRDefault="00767B9E" w:rsidP="00F557C7">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Cadre d’urbanisation sectoriel</w:t>
            </w:r>
          </w:p>
        </w:tc>
      </w:tr>
      <w:tr w:rsidR="00C41D9A" w:rsidRPr="00245C0F" w14:paraId="0DE58E96" w14:textId="77777777" w:rsidTr="00F557C7">
        <w:tc>
          <w:tcPr>
            <w:tcW w:w="9628" w:type="dxa"/>
            <w:shd w:val="clear" w:color="auto" w:fill="0081A2"/>
          </w:tcPr>
          <w:p w14:paraId="4281F01E" w14:textId="77777777" w:rsidR="00C41D9A" w:rsidRPr="00245C0F" w:rsidRDefault="00C41D9A" w:rsidP="00F557C7">
            <w:pPr>
              <w:pStyle w:val="Corps"/>
              <w:rPr>
                <w:rFonts w:ascii="Raleway" w:hAnsi="Raleway"/>
              </w:rPr>
            </w:pPr>
          </w:p>
        </w:tc>
      </w:tr>
    </w:tbl>
    <w:p w14:paraId="50E1ACE5" w14:textId="77777777" w:rsidR="00C41D9A" w:rsidRPr="00245C0F" w:rsidRDefault="00C41D9A" w:rsidP="00C41D9A">
      <w:pPr>
        <w:pStyle w:val="Corps"/>
        <w:rPr>
          <w:rFonts w:ascii="Raleway" w:hAnsi="Raleway"/>
        </w:rPr>
      </w:pPr>
    </w:p>
    <w:p w14:paraId="243EA6AD" w14:textId="77777777" w:rsidR="002823E1" w:rsidRPr="00245C0F" w:rsidRDefault="002823E1" w:rsidP="00C41D9A">
      <w:pPr>
        <w:pStyle w:val="Corps"/>
        <w:rPr>
          <w:rFonts w:ascii="Raleway" w:hAnsi="Raleway"/>
        </w:rPr>
      </w:pPr>
    </w:p>
    <w:p w14:paraId="0022944A" w14:textId="1DDD56F6" w:rsidR="00914819" w:rsidRDefault="00767B9E" w:rsidP="00914819">
      <w:pPr>
        <w:rPr>
          <w:rFonts w:ascii="Calibri" w:eastAsia="Calibri" w:hAnsi="Calibri" w:cs="Calibri"/>
          <w:sz w:val="22"/>
          <w:szCs w:val="22"/>
        </w:rPr>
      </w:pPr>
      <w:r>
        <w:rPr>
          <w:rFonts w:ascii="Calibri" w:eastAsia="Calibri" w:hAnsi="Calibri" w:cs="Calibri"/>
          <w:sz w:val="22"/>
          <w:szCs w:val="22"/>
        </w:rPr>
        <w:t>Si les principes exposés dans ce chapitre de la doctrine</w:t>
      </w:r>
      <w:r w:rsidR="008F5BA0">
        <w:rPr>
          <w:rFonts w:ascii="Calibri" w:eastAsia="Calibri" w:hAnsi="Calibri" w:cs="Calibri"/>
          <w:sz w:val="22"/>
          <w:szCs w:val="22"/>
        </w:rPr>
        <w:t>, et dans le document « cadre d’urbanisation sectoriel »,</w:t>
      </w:r>
      <w:r>
        <w:rPr>
          <w:rFonts w:ascii="Calibri" w:eastAsia="Calibri" w:hAnsi="Calibri" w:cs="Calibri"/>
          <w:sz w:val="22"/>
          <w:szCs w:val="22"/>
        </w:rPr>
        <w:t xml:space="preserve"> rejoignent les attentes exprimées par la FEIMA depuis de plusieurs années (cf. </w:t>
      </w:r>
      <w:r w:rsidR="00706D56">
        <w:rPr>
          <w:rFonts w:ascii="Calibri" w:eastAsia="Calibri" w:hAnsi="Calibri" w:cs="Calibri"/>
          <w:sz w:val="22"/>
          <w:szCs w:val="22"/>
        </w:rPr>
        <w:t>publication de novembre 2017 « Enjeux prioritaires pour garantir un développement cohérent et durable du numérique en santé »)</w:t>
      </w:r>
      <w:r w:rsidR="00AE3A9C">
        <w:rPr>
          <w:rFonts w:ascii="Calibri" w:eastAsia="Calibri" w:hAnsi="Calibri" w:cs="Calibri"/>
          <w:sz w:val="22"/>
          <w:szCs w:val="22"/>
        </w:rPr>
        <w:t xml:space="preserve"> </w:t>
      </w:r>
      <w:r w:rsidR="00706D56">
        <w:rPr>
          <w:rFonts w:ascii="Calibri" w:eastAsia="Calibri" w:hAnsi="Calibri" w:cs="Calibri"/>
          <w:sz w:val="22"/>
          <w:szCs w:val="22"/>
        </w:rPr>
        <w:t xml:space="preserve">en matière d’urbanisation des services développés et déployés dans l’écosystème sanitaire, se pose la question de la mesure de conformité </w:t>
      </w:r>
      <w:r w:rsidR="00305EEF">
        <w:rPr>
          <w:rFonts w:ascii="Calibri" w:eastAsia="Calibri" w:hAnsi="Calibri" w:cs="Calibri"/>
          <w:sz w:val="22"/>
          <w:szCs w:val="22"/>
        </w:rPr>
        <w:t xml:space="preserve">effective </w:t>
      </w:r>
      <w:r w:rsidR="00706D56">
        <w:rPr>
          <w:rFonts w:ascii="Calibri" w:eastAsia="Calibri" w:hAnsi="Calibri" w:cs="Calibri"/>
          <w:sz w:val="22"/>
          <w:szCs w:val="22"/>
        </w:rPr>
        <w:t xml:space="preserve">vis-à-vis des fondements de la doctrine et </w:t>
      </w:r>
      <w:r w:rsidR="002F3847">
        <w:rPr>
          <w:rFonts w:ascii="Calibri" w:eastAsia="Calibri" w:hAnsi="Calibri" w:cs="Calibri"/>
          <w:sz w:val="22"/>
          <w:szCs w:val="22"/>
        </w:rPr>
        <w:t xml:space="preserve">au-delà celle </w:t>
      </w:r>
      <w:r w:rsidR="00706D56">
        <w:rPr>
          <w:rFonts w:ascii="Calibri" w:eastAsia="Calibri" w:hAnsi="Calibri" w:cs="Calibri"/>
          <w:sz w:val="22"/>
          <w:szCs w:val="22"/>
        </w:rPr>
        <w:t xml:space="preserve">des arbitrages à opérer au regard des constats </w:t>
      </w:r>
      <w:r w:rsidR="00305EEF">
        <w:rPr>
          <w:rFonts w:ascii="Calibri" w:eastAsia="Calibri" w:hAnsi="Calibri" w:cs="Calibri"/>
          <w:sz w:val="22"/>
          <w:szCs w:val="22"/>
        </w:rPr>
        <w:t>qui en résultent</w:t>
      </w:r>
      <w:r w:rsidR="00706D56">
        <w:rPr>
          <w:rFonts w:ascii="Calibri" w:eastAsia="Calibri" w:hAnsi="Calibri" w:cs="Calibri"/>
          <w:sz w:val="22"/>
          <w:szCs w:val="22"/>
        </w:rPr>
        <w:t>.</w:t>
      </w:r>
    </w:p>
    <w:p w14:paraId="798210DD" w14:textId="0DCDDD68" w:rsidR="00706D56" w:rsidRDefault="00706D56" w:rsidP="00914819">
      <w:pPr>
        <w:rPr>
          <w:rFonts w:ascii="Calibri" w:eastAsia="Calibri" w:hAnsi="Calibri" w:cs="Calibri"/>
          <w:sz w:val="22"/>
          <w:szCs w:val="22"/>
        </w:rPr>
      </w:pPr>
    </w:p>
    <w:p w14:paraId="613EA0E2" w14:textId="5AAF302B" w:rsidR="002F3847" w:rsidRDefault="002F3847" w:rsidP="00706D56">
      <w:pPr>
        <w:pStyle w:val="Sansinterligne"/>
        <w:rPr>
          <w:rFonts w:ascii="Calibri" w:hAnsi="Calibri" w:cs="Calibri"/>
          <w:sz w:val="22"/>
          <w:szCs w:val="22"/>
          <w:bdr w:val="none" w:sz="0" w:space="0" w:color="auto"/>
          <w:lang w:val="fr-FR"/>
        </w:rPr>
      </w:pPr>
      <w:r>
        <w:rPr>
          <w:rFonts w:ascii="Calibri" w:hAnsi="Calibri" w:cs="Calibri"/>
          <w:sz w:val="22"/>
          <w:szCs w:val="22"/>
          <w:bdr w:val="none" w:sz="0" w:space="0" w:color="auto"/>
          <w:lang w:val="fr-FR"/>
        </w:rPr>
        <w:t>N</w:t>
      </w:r>
      <w:r w:rsidR="008F5BA0">
        <w:rPr>
          <w:rFonts w:ascii="Calibri" w:hAnsi="Calibri" w:cs="Calibri"/>
          <w:sz w:val="22"/>
          <w:szCs w:val="22"/>
          <w:bdr w:val="none" w:sz="0" w:space="0" w:color="auto"/>
          <w:lang w:val="fr-FR"/>
        </w:rPr>
        <w:t xml:space="preserve">ous saluons positivement l’initiative portée par l’ANS en faveur de </w:t>
      </w:r>
      <w:r w:rsidR="00706D56" w:rsidRPr="00334D77">
        <w:rPr>
          <w:rFonts w:ascii="Calibri" w:hAnsi="Calibri" w:cs="Calibri"/>
          <w:sz w:val="22"/>
          <w:szCs w:val="22"/>
          <w:bdr w:val="none" w:sz="0" w:space="0" w:color="auto"/>
          <w:lang w:val="fr-FR"/>
        </w:rPr>
        <w:t>la mise en place d’un outillage permettant de mesure</w:t>
      </w:r>
      <w:r>
        <w:rPr>
          <w:rFonts w:ascii="Calibri" w:hAnsi="Calibri" w:cs="Calibri"/>
          <w:sz w:val="22"/>
          <w:szCs w:val="22"/>
          <w:bdr w:val="none" w:sz="0" w:space="0" w:color="auto"/>
          <w:lang w:val="fr-FR"/>
        </w:rPr>
        <w:t>r</w:t>
      </w:r>
      <w:r w:rsidR="00706D56" w:rsidRPr="00334D77">
        <w:rPr>
          <w:rFonts w:ascii="Calibri" w:hAnsi="Calibri" w:cs="Calibri"/>
          <w:sz w:val="22"/>
          <w:szCs w:val="22"/>
          <w:bdr w:val="none" w:sz="0" w:space="0" w:color="auto"/>
          <w:lang w:val="fr-FR"/>
        </w:rPr>
        <w:t xml:space="preserve"> la conformité des </w:t>
      </w:r>
      <w:r>
        <w:rPr>
          <w:rFonts w:ascii="Calibri" w:hAnsi="Calibri" w:cs="Calibri"/>
          <w:sz w:val="22"/>
          <w:szCs w:val="22"/>
          <w:bdr w:val="none" w:sz="0" w:space="0" w:color="auto"/>
          <w:lang w:val="fr-FR"/>
        </w:rPr>
        <w:t>services</w:t>
      </w:r>
      <w:r w:rsidR="00706D56" w:rsidRPr="00334D77">
        <w:rPr>
          <w:rFonts w:ascii="Calibri" w:hAnsi="Calibri" w:cs="Calibri"/>
          <w:sz w:val="22"/>
          <w:szCs w:val="22"/>
          <w:bdr w:val="none" w:sz="0" w:space="0" w:color="auto"/>
          <w:lang w:val="fr-FR"/>
        </w:rPr>
        <w:t xml:space="preserve"> numériques</w:t>
      </w:r>
      <w:r w:rsidR="00C0736B">
        <w:rPr>
          <w:rFonts w:ascii="Calibri" w:hAnsi="Calibri" w:cs="Calibri"/>
          <w:sz w:val="22"/>
          <w:szCs w:val="22"/>
          <w:bdr w:val="none" w:sz="0" w:space="0" w:color="auto"/>
          <w:lang w:val="fr-FR"/>
        </w:rPr>
        <w:t>. Les principes et méthodes issus du cadre commun d’urbanisation de l’état et de l’European Interoperability Framework, tels que déclinés dans leur adaptation au contexte ciblé nous semblent pertinents.</w:t>
      </w:r>
    </w:p>
    <w:p w14:paraId="0DD7B59E" w14:textId="77777777" w:rsidR="006F68CA" w:rsidRDefault="006F68CA" w:rsidP="00706D56">
      <w:pPr>
        <w:pStyle w:val="Sansinterligne"/>
        <w:rPr>
          <w:rFonts w:ascii="Calibri" w:hAnsi="Calibri" w:cs="Calibri"/>
          <w:sz w:val="22"/>
          <w:szCs w:val="22"/>
          <w:bdr w:val="none" w:sz="0" w:space="0" w:color="auto"/>
          <w:lang w:val="fr-FR"/>
        </w:rPr>
      </w:pPr>
    </w:p>
    <w:p w14:paraId="58488ADF" w14:textId="617E4D4D" w:rsidR="00107F01" w:rsidRDefault="00107F01" w:rsidP="00706D56">
      <w:pPr>
        <w:pStyle w:val="Sansinterligne"/>
        <w:rPr>
          <w:rFonts w:ascii="Calibri" w:hAnsi="Calibri" w:cs="Calibri"/>
          <w:sz w:val="22"/>
          <w:szCs w:val="22"/>
          <w:bdr w:val="none" w:sz="0" w:space="0" w:color="auto"/>
          <w:lang w:val="fr-FR"/>
        </w:rPr>
      </w:pPr>
      <w:r>
        <w:rPr>
          <w:rFonts w:ascii="Calibri" w:hAnsi="Calibri" w:cs="Calibri"/>
          <w:sz w:val="22"/>
          <w:szCs w:val="22"/>
          <w:bdr w:val="none" w:sz="0" w:space="0" w:color="auto"/>
          <w:lang w:val="fr-FR"/>
        </w:rPr>
        <w:t>Nous souhaitons néanmoins formuler les remarques suivantes.</w:t>
      </w:r>
    </w:p>
    <w:p w14:paraId="45685D7C" w14:textId="4FD74812" w:rsidR="00107F01" w:rsidRDefault="00107F01" w:rsidP="00706D56">
      <w:pPr>
        <w:pStyle w:val="Sansinterligne"/>
        <w:rPr>
          <w:rFonts w:ascii="Calibri" w:hAnsi="Calibri" w:cs="Calibri"/>
          <w:sz w:val="22"/>
          <w:szCs w:val="22"/>
          <w:bdr w:val="none" w:sz="0" w:space="0" w:color="auto"/>
          <w:lang w:val="fr-FR"/>
        </w:rPr>
      </w:pPr>
    </w:p>
    <w:p w14:paraId="17954713" w14:textId="780519B2" w:rsidR="00867798" w:rsidRDefault="00867798" w:rsidP="00706D56">
      <w:pPr>
        <w:pStyle w:val="Sansinterligne"/>
        <w:rPr>
          <w:rFonts w:ascii="Calibri" w:hAnsi="Calibri" w:cs="Calibri"/>
          <w:sz w:val="22"/>
          <w:szCs w:val="22"/>
          <w:bdr w:val="none" w:sz="0" w:space="0" w:color="auto"/>
          <w:lang w:val="fr-FR"/>
        </w:rPr>
      </w:pPr>
      <w:r>
        <w:rPr>
          <w:rFonts w:ascii="Calibri" w:hAnsi="Calibri" w:cs="Calibri"/>
          <w:sz w:val="22"/>
          <w:szCs w:val="22"/>
          <w:bdr w:val="none" w:sz="0" w:space="0" w:color="auto"/>
          <w:lang w:val="fr-FR"/>
        </w:rPr>
        <w:t xml:space="preserve">Il nous semble essentiel, </w:t>
      </w:r>
      <w:r w:rsidR="006F727F">
        <w:rPr>
          <w:rFonts w:ascii="Calibri" w:hAnsi="Calibri" w:cs="Calibri"/>
          <w:sz w:val="22"/>
          <w:szCs w:val="22"/>
          <w:bdr w:val="none" w:sz="0" w:space="0" w:color="auto"/>
          <w:lang w:val="fr-FR"/>
        </w:rPr>
        <w:t>si l’on souhaite garantir</w:t>
      </w:r>
      <w:r>
        <w:rPr>
          <w:rFonts w:ascii="Calibri" w:hAnsi="Calibri" w:cs="Calibri"/>
          <w:sz w:val="22"/>
          <w:szCs w:val="22"/>
          <w:bdr w:val="none" w:sz="0" w:space="0" w:color="auto"/>
          <w:lang w:val="fr-FR"/>
        </w:rPr>
        <w:t xml:space="preserve"> </w:t>
      </w:r>
      <w:r w:rsidR="00AE3A9C">
        <w:rPr>
          <w:rFonts w:ascii="Calibri" w:hAnsi="Calibri" w:cs="Calibri"/>
          <w:sz w:val="22"/>
          <w:szCs w:val="22"/>
          <w:bdr w:val="none" w:sz="0" w:space="0" w:color="auto"/>
          <w:lang w:val="fr-FR"/>
        </w:rPr>
        <w:t>l’adoption effective par les professionnels du secteur des services proposés</w:t>
      </w:r>
      <w:r w:rsidR="00A215F2">
        <w:rPr>
          <w:rFonts w:ascii="Calibri" w:hAnsi="Calibri" w:cs="Calibri"/>
          <w:sz w:val="22"/>
          <w:szCs w:val="22"/>
          <w:bdr w:val="none" w:sz="0" w:space="0" w:color="auto"/>
          <w:lang w:val="fr-FR"/>
        </w:rPr>
        <w:t xml:space="preserve">, </w:t>
      </w:r>
      <w:r w:rsidR="006223F8">
        <w:rPr>
          <w:rFonts w:ascii="Calibri" w:hAnsi="Calibri" w:cs="Calibri"/>
          <w:sz w:val="22"/>
          <w:szCs w:val="22"/>
          <w:bdr w:val="none" w:sz="0" w:space="0" w:color="auto"/>
          <w:lang w:val="fr-FR"/>
        </w:rPr>
        <w:t>d’</w:t>
      </w:r>
      <w:r w:rsidR="00A215F2">
        <w:rPr>
          <w:rFonts w:ascii="Calibri" w:hAnsi="Calibri" w:cs="Calibri"/>
          <w:sz w:val="22"/>
          <w:szCs w:val="22"/>
          <w:bdr w:val="none" w:sz="0" w:space="0" w:color="auto"/>
          <w:lang w:val="fr-FR"/>
        </w:rPr>
        <w:t xml:space="preserve">éviter la dispersion des financements publics et créer des conditions de marché propices au développement vertueux des acteurs économiques, que les évaluations portant sur les indicateurs GS1, GS5, CS1, CS4 et CS5 fassent l’objet de mesures concrètes et dument argumentées. </w:t>
      </w:r>
    </w:p>
    <w:p w14:paraId="743991CD" w14:textId="16F0A123" w:rsidR="00A215F2" w:rsidRDefault="00A215F2" w:rsidP="00706D56">
      <w:pPr>
        <w:pStyle w:val="Sansinterligne"/>
        <w:rPr>
          <w:rFonts w:ascii="Calibri" w:hAnsi="Calibri" w:cs="Calibri"/>
          <w:sz w:val="22"/>
          <w:szCs w:val="22"/>
          <w:bdr w:val="none" w:sz="0" w:space="0" w:color="auto"/>
          <w:lang w:val="fr-FR"/>
        </w:rPr>
      </w:pPr>
      <w:r>
        <w:rPr>
          <w:rFonts w:ascii="Calibri" w:hAnsi="Calibri" w:cs="Calibri"/>
          <w:sz w:val="22"/>
          <w:szCs w:val="22"/>
          <w:bdr w:val="none" w:sz="0" w:space="0" w:color="auto"/>
          <w:lang w:val="fr-FR"/>
        </w:rPr>
        <w:t xml:space="preserve">Les exemples présentés dans l’annexe 1 du document « cadre d’urbanisation sectoriel » </w:t>
      </w:r>
      <w:r w:rsidR="00F7621C">
        <w:rPr>
          <w:rFonts w:ascii="Calibri" w:hAnsi="Calibri" w:cs="Calibri"/>
          <w:sz w:val="22"/>
          <w:szCs w:val="22"/>
          <w:bdr w:val="none" w:sz="0" w:space="0" w:color="auto"/>
          <w:lang w:val="fr-FR"/>
        </w:rPr>
        <w:t>ne font état que d’une mesure effective et quantifiée des critères relatifs au CI-SIS ou à la PGSSI-S.</w:t>
      </w:r>
    </w:p>
    <w:p w14:paraId="2862782F" w14:textId="06D1884B" w:rsidR="00F7621C" w:rsidRDefault="00F7621C" w:rsidP="00706D56">
      <w:pPr>
        <w:pStyle w:val="Sansinterligne"/>
        <w:rPr>
          <w:rFonts w:ascii="Calibri" w:hAnsi="Calibri" w:cs="Calibri"/>
          <w:sz w:val="22"/>
          <w:szCs w:val="22"/>
          <w:bdr w:val="none" w:sz="0" w:space="0" w:color="auto"/>
          <w:lang w:val="fr-FR"/>
        </w:rPr>
      </w:pPr>
      <w:r>
        <w:rPr>
          <w:rFonts w:ascii="Calibri" w:hAnsi="Calibri" w:cs="Calibri"/>
          <w:sz w:val="22"/>
          <w:szCs w:val="22"/>
          <w:bdr w:val="none" w:sz="0" w:space="0" w:color="auto"/>
          <w:lang w:val="fr-FR"/>
        </w:rPr>
        <w:t>Ils doivent être complétés afin de répondre à des exigences de mesure quantitative sur l’ensemble des critères et notamment sur les critères mentionnés ci-avant.</w:t>
      </w:r>
    </w:p>
    <w:p w14:paraId="2F665B0C" w14:textId="04BF9EE0" w:rsidR="00F7621C" w:rsidRDefault="00F7621C" w:rsidP="00706D56">
      <w:pPr>
        <w:pStyle w:val="Sansinterligne"/>
        <w:rPr>
          <w:rFonts w:ascii="Calibri" w:hAnsi="Calibri" w:cs="Calibri"/>
          <w:sz w:val="22"/>
          <w:szCs w:val="22"/>
          <w:bdr w:val="none" w:sz="0" w:space="0" w:color="auto"/>
          <w:lang w:val="fr-FR"/>
        </w:rPr>
      </w:pPr>
    </w:p>
    <w:p w14:paraId="6B36357F" w14:textId="48CB8151" w:rsidR="00F7621C" w:rsidRDefault="00F7621C" w:rsidP="00F7621C">
      <w:pPr>
        <w:pStyle w:val="Sansinterligne"/>
        <w:rPr>
          <w:rFonts w:ascii="Calibri" w:hAnsi="Calibri" w:cs="Calibri"/>
          <w:sz w:val="22"/>
          <w:szCs w:val="22"/>
          <w:bdr w:val="none" w:sz="0" w:space="0" w:color="auto"/>
          <w:lang w:val="fr-FR"/>
        </w:rPr>
      </w:pPr>
      <w:r>
        <w:rPr>
          <w:rFonts w:ascii="Calibri" w:hAnsi="Calibri" w:cs="Calibri"/>
          <w:sz w:val="22"/>
          <w:szCs w:val="22"/>
          <w:bdr w:val="none" w:sz="0" w:space="0" w:color="auto"/>
          <w:lang w:val="fr-FR"/>
        </w:rPr>
        <w:t>La trajectoire proposée à ce stade identifie un premier périmètre d’application des mesures de conformité portant sur les services socles nationaux, les référentiels nationaux du socle et les services métier proposés via l’ENS et le bouquet de services aux professionnels.</w:t>
      </w:r>
    </w:p>
    <w:p w14:paraId="422CDBB0" w14:textId="77777777" w:rsidR="00E1333C" w:rsidRDefault="00E1333C" w:rsidP="00F7621C">
      <w:pPr>
        <w:pStyle w:val="Sansinterligne"/>
        <w:rPr>
          <w:rFonts w:ascii="Calibri" w:hAnsi="Calibri" w:cs="Calibri"/>
          <w:sz w:val="22"/>
          <w:szCs w:val="22"/>
          <w:bdr w:val="none" w:sz="0" w:space="0" w:color="auto"/>
          <w:lang w:val="fr-FR"/>
        </w:rPr>
      </w:pPr>
    </w:p>
    <w:p w14:paraId="2538E98C" w14:textId="0E056A94" w:rsidR="00F7621C" w:rsidRDefault="004A2117" w:rsidP="00F7621C">
      <w:pPr>
        <w:pStyle w:val="Sansinterligne"/>
        <w:rPr>
          <w:rFonts w:ascii="Calibri" w:hAnsi="Calibri" w:cs="Calibri"/>
          <w:sz w:val="22"/>
          <w:szCs w:val="22"/>
          <w:bdr w:val="none" w:sz="0" w:space="0" w:color="auto"/>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711488" behindDoc="0" locked="0" layoutInCell="1" allowOverlap="1" wp14:anchorId="41F06376" wp14:editId="5289032C">
            <wp:simplePos x="0" y="0"/>
            <wp:positionH relativeFrom="column">
              <wp:posOffset>-293272</wp:posOffset>
            </wp:positionH>
            <wp:positionV relativeFrom="paragraph">
              <wp:posOffset>191135</wp:posOffset>
            </wp:positionV>
            <wp:extent cx="228600" cy="228600"/>
            <wp:effectExtent l="25400" t="12700" r="76200" b="63500"/>
            <wp:wrapNone/>
            <wp:docPr id="1" name="Graphique 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334E3">
        <w:rPr>
          <w:rFonts w:ascii="Calibri" w:hAnsi="Calibri" w:cs="Calibri"/>
          <w:sz w:val="22"/>
          <w:szCs w:val="22"/>
          <w:bdr w:val="none" w:sz="0" w:space="0" w:color="auto"/>
          <w:lang w:val="fr-FR"/>
        </w:rPr>
        <w:t xml:space="preserve">Les services métier ayant vocation à alimenter le catalogue </w:t>
      </w:r>
      <w:r w:rsidR="00AF46EC">
        <w:rPr>
          <w:rFonts w:ascii="Calibri" w:hAnsi="Calibri" w:cs="Calibri"/>
          <w:sz w:val="22"/>
          <w:szCs w:val="22"/>
          <w:bdr w:val="none" w:sz="0" w:space="0" w:color="auto"/>
          <w:lang w:val="fr-FR"/>
        </w:rPr>
        <w:t xml:space="preserve">des services </w:t>
      </w:r>
      <w:r w:rsidR="000334E3">
        <w:rPr>
          <w:rFonts w:ascii="Calibri" w:hAnsi="Calibri" w:cs="Calibri"/>
          <w:sz w:val="22"/>
          <w:szCs w:val="22"/>
          <w:bdr w:val="none" w:sz="0" w:space="0" w:color="auto"/>
          <w:lang w:val="fr-FR"/>
        </w:rPr>
        <w:t>socles, tant au niveau national (ENS, bouquet de services) que régional (e-parcours), et compte tenu des enjeux d’intégration de ces services avec les environnements de travail des professionnels d</w:t>
      </w:r>
      <w:r>
        <w:rPr>
          <w:rFonts w:ascii="Calibri" w:hAnsi="Calibri" w:cs="Calibri"/>
          <w:sz w:val="22"/>
          <w:szCs w:val="22"/>
          <w:bdr w:val="none" w:sz="0" w:space="0" w:color="auto"/>
          <w:lang w:val="fr-FR"/>
        </w:rPr>
        <w:t>es secteurs hospitalier et ambulatoire, il nous semble indispensable d’associer les représentants des fédérations d’éditeurs au Comité Technique Numérique qui doit être mis en place.</w:t>
      </w:r>
    </w:p>
    <w:p w14:paraId="20530251" w14:textId="4D480DD0" w:rsidR="004A2117" w:rsidRDefault="00E1333C" w:rsidP="00F7621C">
      <w:pPr>
        <w:pStyle w:val="Sansinterligne"/>
        <w:rPr>
          <w:rFonts w:ascii="Calibri" w:hAnsi="Calibri" w:cs="Calibri"/>
          <w:sz w:val="22"/>
          <w:szCs w:val="22"/>
          <w:bdr w:val="none" w:sz="0" w:space="0" w:color="auto"/>
          <w:lang w:val="fr-FR"/>
        </w:rPr>
      </w:pPr>
      <w:r>
        <w:rPr>
          <w:rFonts w:ascii="Calibri" w:hAnsi="Calibri" w:cs="Calibri"/>
          <w:sz w:val="22"/>
          <w:szCs w:val="22"/>
          <w:bdr w:val="none" w:sz="0" w:space="0" w:color="auto"/>
          <w:lang w:val="fr-FR"/>
        </w:rPr>
        <w:t>Une disposition de cette nature serait notamment propice au développement d’un cadre d’échange constructif avec les organisations institutionnelles territoriales</w:t>
      </w:r>
      <w:r w:rsidR="00AF46EC">
        <w:rPr>
          <w:rFonts w:ascii="Calibri" w:hAnsi="Calibri" w:cs="Calibri"/>
          <w:sz w:val="22"/>
          <w:szCs w:val="22"/>
          <w:bdr w:val="none" w:sz="0" w:space="0" w:color="auto"/>
          <w:lang w:val="fr-FR"/>
        </w:rPr>
        <w:t xml:space="preserve"> et nous permettrait de remédier aux écueils auxquels nous sommes </w:t>
      </w:r>
      <w:r w:rsidR="006223F8">
        <w:rPr>
          <w:rFonts w:ascii="Calibri" w:hAnsi="Calibri" w:cs="Calibri"/>
          <w:sz w:val="22"/>
          <w:szCs w:val="22"/>
          <w:bdr w:val="none" w:sz="0" w:space="0" w:color="auto"/>
          <w:lang w:val="fr-FR"/>
        </w:rPr>
        <w:t>encore trop f</w:t>
      </w:r>
      <w:r w:rsidR="00AF46EC">
        <w:rPr>
          <w:rFonts w:ascii="Calibri" w:hAnsi="Calibri" w:cs="Calibri"/>
          <w:sz w:val="22"/>
          <w:szCs w:val="22"/>
          <w:bdr w:val="none" w:sz="0" w:space="0" w:color="auto"/>
          <w:lang w:val="fr-FR"/>
        </w:rPr>
        <w:t>réquemment confrontés faute de pouvoir instaurer un dialogue en amont du lancement de</w:t>
      </w:r>
      <w:r w:rsidR="006223F8">
        <w:rPr>
          <w:rFonts w:ascii="Calibri" w:hAnsi="Calibri" w:cs="Calibri"/>
          <w:sz w:val="22"/>
          <w:szCs w:val="22"/>
          <w:bdr w:val="none" w:sz="0" w:space="0" w:color="auto"/>
          <w:lang w:val="fr-FR"/>
        </w:rPr>
        <w:t>s</w:t>
      </w:r>
      <w:r w:rsidR="00AF46EC">
        <w:rPr>
          <w:rFonts w:ascii="Calibri" w:hAnsi="Calibri" w:cs="Calibri"/>
          <w:sz w:val="22"/>
          <w:szCs w:val="22"/>
          <w:bdr w:val="none" w:sz="0" w:space="0" w:color="auto"/>
          <w:lang w:val="fr-FR"/>
        </w:rPr>
        <w:t xml:space="preserve"> projets.</w:t>
      </w:r>
    </w:p>
    <w:p w14:paraId="463E9DBD" w14:textId="77777777" w:rsidR="00F7621C" w:rsidRDefault="00F7621C" w:rsidP="00706D56">
      <w:pPr>
        <w:pStyle w:val="Sansinterligne"/>
        <w:rPr>
          <w:rFonts w:ascii="Calibri" w:hAnsi="Calibri" w:cs="Calibri"/>
          <w:sz w:val="22"/>
          <w:szCs w:val="22"/>
          <w:bdr w:val="none" w:sz="0" w:space="0" w:color="auto"/>
          <w:lang w:val="fr-FR"/>
        </w:rPr>
      </w:pPr>
    </w:p>
    <w:p w14:paraId="6657AADD" w14:textId="6E05DB05" w:rsidR="00AA4907" w:rsidRDefault="00AA4907" w:rsidP="00914819">
      <w:pPr>
        <w:rPr>
          <w:rFonts w:ascii="Calibri" w:eastAsia="Calibri" w:hAnsi="Calibri" w:cs="Calibri"/>
          <w:sz w:val="22"/>
          <w:szCs w:val="22"/>
        </w:rPr>
      </w:pPr>
    </w:p>
    <w:p w14:paraId="3435C208" w14:textId="77777777" w:rsidR="00141CF4" w:rsidRDefault="00141CF4" w:rsidP="00914819">
      <w:pPr>
        <w:rPr>
          <w:rFonts w:ascii="Calibri" w:eastAsia="Calibri" w:hAnsi="Calibri" w:cs="Calibri"/>
          <w:sz w:val="22"/>
          <w:szCs w:val="22"/>
        </w:rPr>
      </w:pPr>
    </w:p>
    <w:p w14:paraId="6FE284EC" w14:textId="77777777" w:rsidR="00691002" w:rsidRDefault="00691002">
      <w:pPr>
        <w:rPr>
          <w:rFonts w:ascii="Calibri" w:eastAsia="Calibri" w:hAnsi="Calibri" w:cs="Calibri"/>
          <w:sz w:val="22"/>
          <w:szCs w:val="22"/>
        </w:rPr>
      </w:pPr>
      <w:r>
        <w:rPr>
          <w:rFonts w:ascii="Calibri" w:eastAsia="Calibri" w:hAnsi="Calibri" w:cs="Calibri"/>
          <w:sz w:val="22"/>
          <w:szCs w:val="22"/>
        </w:rPr>
        <w:br w:type="page"/>
      </w:r>
    </w:p>
    <w:p w14:paraId="306F59BA" w14:textId="5CC650DE" w:rsidR="00141CF4" w:rsidRDefault="00141CF4">
      <w:pPr>
        <w:rPr>
          <w:rFonts w:ascii="Calibri" w:eastAsia="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141CF4" w:rsidRPr="007B3E68" w14:paraId="6080EF18" w14:textId="77777777" w:rsidTr="00F557C7">
        <w:tc>
          <w:tcPr>
            <w:tcW w:w="9628" w:type="dxa"/>
            <w:shd w:val="clear" w:color="auto" w:fill="0081A2"/>
          </w:tcPr>
          <w:p w14:paraId="44DF35A2" w14:textId="77777777" w:rsidR="00141CF4" w:rsidRPr="00245C0F" w:rsidRDefault="00141CF4" w:rsidP="00F557C7">
            <w:pPr>
              <w:jc w:val="center"/>
              <w:rPr>
                <w:rFonts w:ascii="Raleway" w:hAnsi="Raleway"/>
              </w:rPr>
            </w:pPr>
          </w:p>
          <w:p w14:paraId="4219528E" w14:textId="222020AE" w:rsidR="00141CF4" w:rsidRPr="00245C0F" w:rsidRDefault="00141CF4" w:rsidP="00F557C7">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Interopérabilité des systèmes d’information de santé</w:t>
            </w:r>
          </w:p>
        </w:tc>
      </w:tr>
      <w:tr w:rsidR="00141CF4" w:rsidRPr="007B3E68" w14:paraId="2BAA231A" w14:textId="77777777" w:rsidTr="00F557C7">
        <w:tc>
          <w:tcPr>
            <w:tcW w:w="9628" w:type="dxa"/>
            <w:shd w:val="clear" w:color="auto" w:fill="0081A2"/>
          </w:tcPr>
          <w:p w14:paraId="4D615FEF" w14:textId="77777777" w:rsidR="00141CF4" w:rsidRPr="00245C0F" w:rsidRDefault="00141CF4" w:rsidP="00F557C7">
            <w:pPr>
              <w:pStyle w:val="Corps"/>
              <w:rPr>
                <w:rFonts w:ascii="Raleway" w:hAnsi="Raleway"/>
              </w:rPr>
            </w:pPr>
          </w:p>
        </w:tc>
      </w:tr>
    </w:tbl>
    <w:p w14:paraId="23AE4FCA" w14:textId="7137BF7D" w:rsidR="00141CF4" w:rsidRDefault="00141CF4" w:rsidP="00914819">
      <w:pPr>
        <w:rPr>
          <w:rFonts w:ascii="Calibri" w:eastAsia="Calibri" w:hAnsi="Calibri" w:cs="Calibri"/>
          <w:sz w:val="22"/>
          <w:szCs w:val="22"/>
        </w:rPr>
      </w:pPr>
    </w:p>
    <w:p w14:paraId="75A3F0D6" w14:textId="2EF58107" w:rsidR="00A447EE" w:rsidRPr="00914819" w:rsidRDefault="00A447EE" w:rsidP="00A447EE">
      <w:pPr>
        <w:rPr>
          <w:rFonts w:ascii="Calibri" w:eastAsia="Calibri" w:hAnsi="Calibri" w:cs="Calibri"/>
          <w:sz w:val="22"/>
          <w:szCs w:val="22"/>
        </w:rPr>
      </w:pPr>
      <w:r>
        <w:rPr>
          <w:rFonts w:ascii="Calibri" w:eastAsia="Calibri" w:hAnsi="Calibri" w:cs="Calibri"/>
          <w:sz w:val="22"/>
          <w:szCs w:val="22"/>
        </w:rPr>
        <w:t>A</w:t>
      </w:r>
      <w:r w:rsidRPr="00914819">
        <w:rPr>
          <w:rFonts w:ascii="Calibri" w:eastAsia="Calibri" w:hAnsi="Calibri" w:cs="Calibri"/>
          <w:sz w:val="22"/>
          <w:szCs w:val="22"/>
        </w:rPr>
        <w:t xml:space="preserve"> la lumière des attentes exprimées par les usagers, des projets dans lesquels nous sommes engagés ainsi que des difficultés auxquelles nous sommes confrontés</w:t>
      </w:r>
      <w:r>
        <w:rPr>
          <w:rFonts w:ascii="Calibri" w:eastAsia="Calibri" w:hAnsi="Calibri" w:cs="Calibri"/>
          <w:sz w:val="22"/>
          <w:szCs w:val="22"/>
        </w:rPr>
        <w:t>, v</w:t>
      </w:r>
      <w:r w:rsidRPr="00914819">
        <w:rPr>
          <w:rFonts w:ascii="Calibri" w:eastAsia="Calibri" w:hAnsi="Calibri" w:cs="Calibri"/>
          <w:sz w:val="22"/>
          <w:szCs w:val="22"/>
        </w:rPr>
        <w:t xml:space="preserve">oici les sujets </w:t>
      </w:r>
      <w:r>
        <w:rPr>
          <w:rFonts w:ascii="Calibri" w:eastAsia="Calibri" w:hAnsi="Calibri" w:cs="Calibri"/>
          <w:sz w:val="22"/>
          <w:szCs w:val="22"/>
        </w:rPr>
        <w:t xml:space="preserve">que nous avons identifiés comme devant faire l’objet d’une mobilisation collective. Ils sont listés ci-après par </w:t>
      </w:r>
      <w:r w:rsidRPr="00914819">
        <w:rPr>
          <w:rFonts w:ascii="Calibri" w:eastAsia="Calibri" w:hAnsi="Calibri" w:cs="Calibri"/>
          <w:sz w:val="22"/>
          <w:szCs w:val="22"/>
        </w:rPr>
        <w:t>ordre décroissant de priorité.</w:t>
      </w:r>
    </w:p>
    <w:p w14:paraId="2D5B4924" w14:textId="77777777" w:rsidR="00A447EE" w:rsidRPr="00914819" w:rsidRDefault="00A447EE" w:rsidP="00A447EE">
      <w:pPr>
        <w:rPr>
          <w:rFonts w:ascii="Calibri" w:eastAsia="Calibri" w:hAnsi="Calibri" w:cs="Calibri"/>
          <w:sz w:val="22"/>
          <w:szCs w:val="22"/>
        </w:rPr>
      </w:pPr>
    </w:p>
    <w:p w14:paraId="2211A63F" w14:textId="77777777" w:rsidR="00A447EE" w:rsidRPr="00914819" w:rsidRDefault="00A447EE" w:rsidP="00A447EE">
      <w:pPr>
        <w:rPr>
          <w:rFonts w:ascii="Calibri" w:eastAsia="Calibri" w:hAnsi="Calibri" w:cs="Calibri"/>
          <w:sz w:val="22"/>
          <w:szCs w:val="22"/>
        </w:rPr>
      </w:pPr>
    </w:p>
    <w:p w14:paraId="1A239342" w14:textId="755A0077" w:rsidR="00A447EE" w:rsidRPr="001872E7" w:rsidRDefault="00334E52" w:rsidP="00744E85">
      <w:pPr>
        <w:numPr>
          <w:ilvl w:val="0"/>
          <w:numId w:val="10"/>
        </w:numPr>
        <w:spacing w:after="24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39136" behindDoc="0" locked="0" layoutInCell="1" allowOverlap="1" wp14:anchorId="2F44498F" wp14:editId="571BB773">
            <wp:simplePos x="0" y="0"/>
            <wp:positionH relativeFrom="column">
              <wp:posOffset>149225</wp:posOffset>
            </wp:positionH>
            <wp:positionV relativeFrom="paragraph">
              <wp:posOffset>1459375</wp:posOffset>
            </wp:positionV>
            <wp:extent cx="228600" cy="228600"/>
            <wp:effectExtent l="25400" t="12700" r="76200" b="63500"/>
            <wp:wrapNone/>
            <wp:docPr id="9" name="Graphique 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sidRPr="00914819">
        <w:rPr>
          <w:rFonts w:ascii="Calibri" w:eastAsia="Calibri" w:hAnsi="Calibri" w:cs="Calibri"/>
          <w:sz w:val="22"/>
          <w:szCs w:val="22"/>
          <w:u w:val="single"/>
        </w:rPr>
        <w:t>Identifiant National de Santé (INS)</w:t>
      </w:r>
      <w:r w:rsidR="00A447EE" w:rsidRPr="00914819">
        <w:rPr>
          <w:rFonts w:ascii="Calibri" w:eastAsia="Calibri" w:hAnsi="Calibri" w:cs="Calibri"/>
          <w:sz w:val="22"/>
          <w:szCs w:val="22"/>
        </w:rPr>
        <w:br/>
      </w:r>
      <w:r w:rsidR="00C94983">
        <w:rPr>
          <w:rFonts w:ascii="Calibri" w:eastAsia="Calibri" w:hAnsi="Calibri" w:cs="Calibri"/>
          <w:sz w:val="22"/>
          <w:szCs w:val="22"/>
        </w:rPr>
        <w:br/>
      </w:r>
      <w:r w:rsidR="00A447EE" w:rsidRPr="00914819">
        <w:rPr>
          <w:rFonts w:ascii="Calibri" w:eastAsia="Calibri" w:hAnsi="Calibri" w:cs="Calibri"/>
          <w:sz w:val="22"/>
          <w:szCs w:val="22"/>
        </w:rPr>
        <w:t xml:space="preserve">Clé de voute des échanges destinée à compléter l’INS-C que nous avions intégré dans les premières phases du DMP. Le premier TLSi publié par la CNAM est en cours d’intégration. Nous attendons le second qui permettra de compléter le dispositif global de gestion. </w:t>
      </w:r>
      <w:r w:rsidR="00A447EE" w:rsidRPr="001872E7">
        <w:rPr>
          <w:rFonts w:ascii="Calibri" w:eastAsia="Calibri" w:hAnsi="Calibri" w:cs="Calibri"/>
          <w:sz w:val="22"/>
          <w:szCs w:val="22"/>
        </w:rPr>
        <w:br/>
      </w:r>
      <w:r w:rsidR="00A447EE" w:rsidRPr="00914819">
        <w:rPr>
          <w:rFonts w:ascii="Calibri" w:eastAsia="Calibri" w:hAnsi="Calibri" w:cs="Calibri"/>
          <w:sz w:val="22"/>
          <w:szCs w:val="22"/>
        </w:rPr>
        <w:t>La publication des textes qui permettront d’en faire un usage généralisé, au-delà de l’ouverture du DMP à l’ensemble des assurés, est attendue avec impatience.</w:t>
      </w:r>
      <w:r w:rsidR="00107F01">
        <w:rPr>
          <w:rFonts w:ascii="Calibri" w:eastAsia="Calibri" w:hAnsi="Calibri" w:cs="Calibri"/>
          <w:sz w:val="22"/>
          <w:szCs w:val="22"/>
        </w:rPr>
        <w:t xml:space="preserve"> </w:t>
      </w:r>
      <w:r w:rsidR="00A447EE" w:rsidRPr="001872E7">
        <w:rPr>
          <w:rFonts w:ascii="Calibri" w:eastAsia="Calibri" w:hAnsi="Calibri" w:cs="Calibri"/>
          <w:sz w:val="22"/>
          <w:szCs w:val="22"/>
        </w:rPr>
        <w:br/>
      </w:r>
      <w:r w:rsidR="00A447EE" w:rsidRPr="00914819">
        <w:rPr>
          <w:rFonts w:ascii="Calibri" w:eastAsia="Calibri" w:hAnsi="Calibri" w:cs="Calibri"/>
          <w:sz w:val="22"/>
          <w:szCs w:val="22"/>
        </w:rPr>
        <w:br/>
        <w:t xml:space="preserve">La question qui se pose est celle de son adoption par l’ensemble des acteurs et de son intégration par l’ensemble des industriels. Il </w:t>
      </w:r>
      <w:r w:rsidR="006223F8">
        <w:rPr>
          <w:rFonts w:ascii="Calibri" w:eastAsia="Calibri" w:hAnsi="Calibri" w:cs="Calibri"/>
          <w:sz w:val="22"/>
          <w:szCs w:val="22"/>
        </w:rPr>
        <w:t>nous</w:t>
      </w:r>
      <w:r w:rsidR="00A447EE" w:rsidRPr="00914819">
        <w:rPr>
          <w:rFonts w:ascii="Calibri" w:eastAsia="Calibri" w:hAnsi="Calibri" w:cs="Calibri"/>
          <w:sz w:val="22"/>
          <w:szCs w:val="22"/>
        </w:rPr>
        <w:t xml:space="preserve"> semble qu’il s’agit là d’un élément fondamental du référentiel d’interopérabilité justifiant d’une opposabilité.</w:t>
      </w:r>
    </w:p>
    <w:p w14:paraId="61D512AE" w14:textId="3E1872A7" w:rsidR="00A447EE" w:rsidRDefault="00A447EE" w:rsidP="00744E85">
      <w:pPr>
        <w:numPr>
          <w:ilvl w:val="0"/>
          <w:numId w:val="10"/>
        </w:numPr>
        <w:spacing w:after="240"/>
        <w:rPr>
          <w:rFonts w:ascii="Calibri" w:eastAsia="Calibri" w:hAnsi="Calibri" w:cs="Calibri"/>
          <w:sz w:val="22"/>
          <w:szCs w:val="22"/>
        </w:rPr>
      </w:pPr>
      <w:r>
        <w:rPr>
          <w:rFonts w:ascii="Calibri" w:eastAsia="Calibri" w:hAnsi="Calibri" w:cs="Calibri"/>
          <w:sz w:val="22"/>
          <w:szCs w:val="22"/>
          <w:u w:val="single"/>
        </w:rPr>
        <w:t>Dématérialisation des dispositifs d’identification et d’authentification</w:t>
      </w:r>
      <w:r w:rsidRPr="00914819">
        <w:rPr>
          <w:rFonts w:ascii="Calibri" w:eastAsia="Calibri" w:hAnsi="Calibri" w:cs="Calibri"/>
          <w:sz w:val="22"/>
          <w:szCs w:val="22"/>
          <w:u w:val="single"/>
        </w:rPr>
        <w:t xml:space="preserve"> (</w:t>
      </w:r>
      <w:r>
        <w:rPr>
          <w:rFonts w:ascii="Calibri" w:eastAsia="Calibri" w:hAnsi="Calibri" w:cs="Calibri"/>
          <w:sz w:val="22"/>
          <w:szCs w:val="22"/>
          <w:u w:val="single"/>
        </w:rPr>
        <w:t xml:space="preserve">apCV et </w:t>
      </w:r>
      <w:r w:rsidR="00F36544">
        <w:rPr>
          <w:rFonts w:ascii="Calibri" w:eastAsia="Calibri" w:hAnsi="Calibri" w:cs="Calibri"/>
          <w:sz w:val="22"/>
          <w:szCs w:val="22"/>
          <w:u w:val="single"/>
        </w:rPr>
        <w:t>e-CPS</w:t>
      </w:r>
      <w:r w:rsidRPr="00914819">
        <w:rPr>
          <w:rFonts w:ascii="Calibri" w:eastAsia="Calibri" w:hAnsi="Calibri" w:cs="Calibri"/>
          <w:sz w:val="22"/>
          <w:szCs w:val="22"/>
          <w:u w:val="single"/>
        </w:rPr>
        <w:t>)</w:t>
      </w:r>
      <w:r>
        <w:rPr>
          <w:rFonts w:ascii="Calibri" w:eastAsia="Calibri" w:hAnsi="Calibri" w:cs="Calibri"/>
          <w:sz w:val="22"/>
          <w:szCs w:val="22"/>
        </w:rPr>
        <w:br/>
      </w:r>
      <w:r w:rsidR="004B0E17">
        <w:rPr>
          <w:rFonts w:ascii="Calibri" w:eastAsia="Calibri" w:hAnsi="Calibri" w:cs="Calibri"/>
          <w:sz w:val="22"/>
          <w:szCs w:val="22"/>
        </w:rPr>
        <w:br/>
      </w:r>
      <w:r>
        <w:rPr>
          <w:rFonts w:ascii="Calibri" w:eastAsia="Calibri" w:hAnsi="Calibri" w:cs="Calibri"/>
          <w:sz w:val="22"/>
          <w:szCs w:val="22"/>
        </w:rPr>
        <w:t>Nous</w:t>
      </w:r>
      <w:r w:rsidRPr="001872E7">
        <w:rPr>
          <w:rFonts w:ascii="Calibri" w:eastAsia="Calibri" w:hAnsi="Calibri" w:cs="Calibri"/>
          <w:sz w:val="22"/>
          <w:szCs w:val="22"/>
        </w:rPr>
        <w:t xml:space="preserve"> attentions depuis longtemps </w:t>
      </w:r>
      <w:r>
        <w:rPr>
          <w:rFonts w:ascii="Calibri" w:eastAsia="Calibri" w:hAnsi="Calibri" w:cs="Calibri"/>
          <w:sz w:val="22"/>
          <w:szCs w:val="22"/>
        </w:rPr>
        <w:t xml:space="preserve">que des dispositions soient adoptées afin de favoriser </w:t>
      </w:r>
      <w:r w:rsidRPr="001872E7">
        <w:rPr>
          <w:rFonts w:ascii="Calibri" w:eastAsia="Calibri" w:hAnsi="Calibri" w:cs="Calibri"/>
          <w:sz w:val="22"/>
          <w:szCs w:val="22"/>
        </w:rPr>
        <w:t>le développement de nombreux usages dans les domaines des prises en charge en mobilité, de la délégation de tâches, de la télémédecine</w:t>
      </w:r>
      <w:r>
        <w:rPr>
          <w:rFonts w:ascii="Calibri" w:eastAsia="Calibri" w:hAnsi="Calibri" w:cs="Calibri"/>
          <w:sz w:val="22"/>
          <w:szCs w:val="22"/>
        </w:rPr>
        <w:t>, …</w:t>
      </w:r>
      <w:r>
        <w:rPr>
          <w:rFonts w:ascii="Calibri" w:eastAsia="Calibri" w:hAnsi="Calibri" w:cs="Calibri"/>
          <w:sz w:val="22"/>
          <w:szCs w:val="22"/>
        </w:rPr>
        <w:br/>
        <w:t>Plusieurs membres de la FEIMA sont d’ores et déjà impliqués dans l’expérimentation pilotée par la CNAM sur la dématérialisation de la carte Vitale. Un appel à candidatures vient d’être lancé par le GIE SESAM-Vitale pour étendre la participation à un nombre plus important d’éditeurs.</w:t>
      </w:r>
      <w:r>
        <w:rPr>
          <w:rFonts w:ascii="Calibri" w:eastAsia="Calibri" w:hAnsi="Calibri" w:cs="Calibri"/>
          <w:sz w:val="22"/>
          <w:szCs w:val="22"/>
        </w:rPr>
        <w:br/>
        <w:t>La mise en expérimentation du dispositif de dématérialisation de la carte CPS va par ailleurs débuter sur un périmètre d’usages en cours de définition.</w:t>
      </w:r>
    </w:p>
    <w:p w14:paraId="46AB6D7C" w14:textId="10E525F8" w:rsidR="00AB1117" w:rsidRDefault="00AB1117" w:rsidP="0083744C">
      <w:pPr>
        <w:ind w:left="720"/>
        <w:rPr>
          <w:rFonts w:ascii="Calibri" w:eastAsia="Calibri" w:hAnsi="Calibri" w:cs="Calibri"/>
          <w:sz w:val="22"/>
          <w:szCs w:val="22"/>
        </w:rPr>
      </w:pPr>
      <w:r>
        <w:rPr>
          <w:rFonts w:ascii="Calibri" w:eastAsia="Calibri" w:hAnsi="Calibri" w:cs="Calibri"/>
          <w:sz w:val="22"/>
          <w:szCs w:val="22"/>
        </w:rPr>
        <w:t xml:space="preserve">Les conditions permettant de générer une mobilisation soutenue des industriels tiennent principalement aux usages de ces dispositifs, seul </w:t>
      </w:r>
      <w:r w:rsidR="00F36544">
        <w:rPr>
          <w:rFonts w:ascii="Calibri" w:eastAsia="Calibri" w:hAnsi="Calibri" w:cs="Calibri"/>
          <w:sz w:val="22"/>
          <w:szCs w:val="22"/>
        </w:rPr>
        <w:t xml:space="preserve">véritable </w:t>
      </w:r>
      <w:r>
        <w:rPr>
          <w:rFonts w:ascii="Calibri" w:eastAsia="Calibri" w:hAnsi="Calibri" w:cs="Calibri"/>
          <w:sz w:val="22"/>
          <w:szCs w:val="22"/>
        </w:rPr>
        <w:t>vecteur d’adhésion des professionnels de santé aux services qui seront proposés.</w:t>
      </w:r>
    </w:p>
    <w:p w14:paraId="18CEAC7A" w14:textId="0601613C" w:rsidR="00A447EE" w:rsidRDefault="00FD03AB" w:rsidP="0083744C">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24128" behindDoc="0" locked="0" layoutInCell="1" allowOverlap="1" wp14:anchorId="1E870962" wp14:editId="10761D3A">
            <wp:simplePos x="0" y="0"/>
            <wp:positionH relativeFrom="column">
              <wp:posOffset>52705</wp:posOffset>
            </wp:positionH>
            <wp:positionV relativeFrom="paragraph">
              <wp:posOffset>90332</wp:posOffset>
            </wp:positionV>
            <wp:extent cx="348615" cy="348615"/>
            <wp:effectExtent l="0" t="0" r="0" b="0"/>
            <wp:wrapNone/>
            <wp:docPr id="3" name="Graphique 3"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zIolAQ.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8615" cy="348615"/>
                    </a:xfrm>
                    <a:prstGeom prst="rect">
                      <a:avLst/>
                    </a:prstGeom>
                  </pic:spPr>
                </pic:pic>
              </a:graphicData>
            </a:graphic>
            <wp14:sizeRelH relativeFrom="margin">
              <wp14:pctWidth>0</wp14:pctWidth>
            </wp14:sizeRelH>
            <wp14:sizeRelV relativeFrom="margin">
              <wp14:pctHeight>0</wp14:pctHeight>
            </wp14:sizeRelV>
          </wp:anchor>
        </w:drawing>
      </w:r>
      <w:r w:rsidR="00AB1117">
        <w:rPr>
          <w:rFonts w:ascii="Calibri" w:eastAsia="Calibri" w:hAnsi="Calibri" w:cs="Calibri"/>
          <w:sz w:val="22"/>
          <w:szCs w:val="22"/>
        </w:rPr>
        <w:t>N</w:t>
      </w:r>
      <w:r w:rsidR="00A447EE">
        <w:rPr>
          <w:rFonts w:ascii="Calibri" w:eastAsia="Calibri" w:hAnsi="Calibri" w:cs="Calibri"/>
          <w:sz w:val="22"/>
          <w:szCs w:val="22"/>
        </w:rPr>
        <w:t xml:space="preserve">ous avons </w:t>
      </w:r>
      <w:r w:rsidR="00AB1117">
        <w:rPr>
          <w:rFonts w:ascii="Calibri" w:eastAsia="Calibri" w:hAnsi="Calibri" w:cs="Calibri"/>
          <w:sz w:val="22"/>
          <w:szCs w:val="22"/>
        </w:rPr>
        <w:t xml:space="preserve">donc </w:t>
      </w:r>
      <w:r w:rsidR="00A447EE">
        <w:rPr>
          <w:rFonts w:ascii="Calibri" w:eastAsia="Calibri" w:hAnsi="Calibri" w:cs="Calibri"/>
          <w:sz w:val="22"/>
          <w:szCs w:val="22"/>
        </w:rPr>
        <w:t>recensé les différent</w:t>
      </w:r>
      <w:r w:rsidR="00F36544">
        <w:rPr>
          <w:rFonts w:ascii="Calibri" w:eastAsia="Calibri" w:hAnsi="Calibri" w:cs="Calibri"/>
          <w:sz w:val="22"/>
          <w:szCs w:val="22"/>
        </w:rPr>
        <w:t>e</w:t>
      </w:r>
      <w:r w:rsidR="00A447EE">
        <w:rPr>
          <w:rFonts w:ascii="Calibri" w:eastAsia="Calibri" w:hAnsi="Calibri" w:cs="Calibri"/>
          <w:sz w:val="22"/>
          <w:szCs w:val="22"/>
        </w:rPr>
        <w:t xml:space="preserve">s </w:t>
      </w:r>
      <w:r w:rsidR="00F36544">
        <w:rPr>
          <w:rFonts w:ascii="Calibri" w:eastAsia="Calibri" w:hAnsi="Calibri" w:cs="Calibri"/>
          <w:sz w:val="22"/>
          <w:szCs w:val="22"/>
        </w:rPr>
        <w:t xml:space="preserve">situations et </w:t>
      </w:r>
      <w:r w:rsidR="00A447EE">
        <w:rPr>
          <w:rFonts w:ascii="Calibri" w:eastAsia="Calibri" w:hAnsi="Calibri" w:cs="Calibri"/>
          <w:sz w:val="22"/>
          <w:szCs w:val="22"/>
        </w:rPr>
        <w:t xml:space="preserve">cas d’usages </w:t>
      </w:r>
      <w:r w:rsidR="00AB1117">
        <w:rPr>
          <w:rFonts w:ascii="Calibri" w:eastAsia="Calibri" w:hAnsi="Calibri" w:cs="Calibri"/>
          <w:sz w:val="22"/>
          <w:szCs w:val="22"/>
        </w:rPr>
        <w:t>qui nous paraissent</w:t>
      </w:r>
      <w:r w:rsidR="00C945E1">
        <w:rPr>
          <w:rFonts w:ascii="Calibri" w:eastAsia="Calibri" w:hAnsi="Calibri" w:cs="Calibri"/>
          <w:sz w:val="22"/>
          <w:szCs w:val="22"/>
        </w:rPr>
        <w:t xml:space="preserve"> devoir répondre aux attentes des professionnels</w:t>
      </w:r>
      <w:r w:rsidR="00334D77">
        <w:rPr>
          <w:rFonts w:ascii="Calibri" w:eastAsia="Calibri" w:hAnsi="Calibri" w:cs="Calibri"/>
          <w:sz w:val="22"/>
          <w:szCs w:val="22"/>
        </w:rPr>
        <w:t>.</w:t>
      </w:r>
      <w:r w:rsidR="00334D77">
        <w:rPr>
          <w:rFonts w:ascii="Calibri" w:eastAsia="Calibri" w:hAnsi="Calibri" w:cs="Calibri"/>
          <w:sz w:val="22"/>
          <w:szCs w:val="22"/>
        </w:rPr>
        <w:br/>
        <w:t xml:space="preserve">Nous avons enfin </w:t>
      </w:r>
      <w:r w:rsidR="00C945E1">
        <w:rPr>
          <w:rFonts w:ascii="Calibri" w:eastAsia="Calibri" w:hAnsi="Calibri" w:cs="Calibri"/>
          <w:sz w:val="22"/>
          <w:szCs w:val="22"/>
        </w:rPr>
        <w:t xml:space="preserve">mentionné </w:t>
      </w:r>
      <w:r w:rsidR="00334D77">
        <w:rPr>
          <w:rFonts w:ascii="Calibri" w:eastAsia="Calibri" w:hAnsi="Calibri" w:cs="Calibri"/>
          <w:sz w:val="22"/>
          <w:szCs w:val="22"/>
        </w:rPr>
        <w:t>les contraintes à lever et les usages qui nous paraissent les plus porteurs à court terme.</w:t>
      </w:r>
    </w:p>
    <w:p w14:paraId="06A4C4B2" w14:textId="77777777" w:rsidR="00334D77" w:rsidRDefault="00334D77" w:rsidP="0083744C">
      <w:pPr>
        <w:ind w:left="720"/>
        <w:rPr>
          <w:rFonts w:ascii="Calibri" w:eastAsia="Calibri" w:hAnsi="Calibri" w:cs="Calibri"/>
          <w:sz w:val="22"/>
          <w:szCs w:val="22"/>
        </w:rPr>
      </w:pPr>
    </w:p>
    <w:p w14:paraId="4B18A00B" w14:textId="12BDFA77" w:rsidR="00A447EE" w:rsidRPr="00F36544" w:rsidRDefault="00A447EE" w:rsidP="00DC59B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F36544">
        <w:rPr>
          <w:rFonts w:ascii="Calibri" w:eastAsia="Calibri" w:hAnsi="Calibri" w:cs="Calibri"/>
          <w:sz w:val="22"/>
          <w:szCs w:val="22"/>
          <w:bdr w:val="none" w:sz="0" w:space="0" w:color="auto"/>
          <w:lang w:val="fr-FR"/>
        </w:rPr>
        <w:t>Professionnels en situation de mobilité : les PS ne disposent pas nécessairement d’un lecteur de carte CPS dans les cas d’usages ci-après</w:t>
      </w:r>
      <w:r w:rsidR="00C945E1">
        <w:rPr>
          <w:rFonts w:ascii="Calibri" w:eastAsia="Calibri" w:hAnsi="Calibri" w:cs="Calibri"/>
          <w:sz w:val="22"/>
          <w:szCs w:val="22"/>
          <w:bdr w:val="none" w:sz="0" w:space="0" w:color="auto"/>
          <w:lang w:val="fr-FR"/>
        </w:rPr>
        <w:t xml:space="preserve"> et accueilleront donc favorablement les services dématérialisés</w:t>
      </w:r>
    </w:p>
    <w:p w14:paraId="0AC093C6" w14:textId="03DCE1D9" w:rsidR="00A447EE" w:rsidRPr="00F36544" w:rsidRDefault="00A447EE" w:rsidP="00DC59B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F36544">
        <w:rPr>
          <w:rFonts w:ascii="Calibri" w:eastAsia="Calibri" w:hAnsi="Calibri" w:cs="Calibri"/>
          <w:sz w:val="22"/>
          <w:szCs w:val="22"/>
          <w:bdr w:val="none" w:sz="0" w:space="0" w:color="auto"/>
          <w:lang w:val="fr-FR"/>
        </w:rPr>
        <w:t>Infirmière en tournée au domicile des patients : mise à jour de son dossier sur son LPS, accès la MSS, accès au DMP ou aux services de coordination de parcours, accès aux téléservices de l’assurance maladie et facturation des actes, y compris en tiers payant intégral</w:t>
      </w:r>
      <w:r w:rsidR="00F36544">
        <w:rPr>
          <w:rFonts w:ascii="Calibri" w:eastAsia="Calibri" w:hAnsi="Calibri" w:cs="Calibri"/>
          <w:sz w:val="22"/>
          <w:szCs w:val="22"/>
          <w:bdr w:val="none" w:sz="0" w:space="0" w:color="auto"/>
          <w:lang w:val="fr-FR"/>
        </w:rPr>
        <w:t>, pratiques de télésoin en support d’une téléconsultation avec un médecin distant (assistance du patient)</w:t>
      </w:r>
    </w:p>
    <w:p w14:paraId="18F1DB3D" w14:textId="7028507F" w:rsidR="009248B2" w:rsidRDefault="00A447EE" w:rsidP="00DC59B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F36544">
        <w:rPr>
          <w:rFonts w:ascii="Calibri" w:eastAsia="Calibri" w:hAnsi="Calibri" w:cs="Calibri"/>
          <w:sz w:val="22"/>
          <w:szCs w:val="22"/>
          <w:bdr w:val="none" w:sz="0" w:space="0" w:color="auto"/>
          <w:lang w:val="fr-FR"/>
        </w:rPr>
        <w:t>Visites médicales à domicile ou en EPHAD : mise à jour de son dossier sur son LPS, accès à la MSS, accès au DMP ou aux services de coordination de parcours, accès aux téléservices de l’assurance maladie et facturation des actes, y compris en tiers payant intégral</w:t>
      </w:r>
    </w:p>
    <w:p w14:paraId="11747181" w14:textId="77777777" w:rsidR="00A447EE" w:rsidRPr="00F36544" w:rsidRDefault="00A447EE" w:rsidP="00DC59B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F36544">
        <w:rPr>
          <w:rFonts w:ascii="Calibri" w:eastAsia="Calibri" w:hAnsi="Calibri" w:cs="Calibri"/>
          <w:sz w:val="22"/>
          <w:szCs w:val="22"/>
          <w:bdr w:val="none" w:sz="0" w:space="0" w:color="auto"/>
          <w:lang w:val="fr-FR"/>
        </w:rPr>
        <w:lastRenderedPageBreak/>
        <w:t>Visites à domicile des aides-soignantes ou de tout autre acteur d’une chaîne de prise en charge coordonnée (médico-social et social) : mise à jour des services de coordination de parcours, accès à la MSS</w:t>
      </w:r>
    </w:p>
    <w:p w14:paraId="3B331A23" w14:textId="77777777" w:rsidR="00A447EE" w:rsidRDefault="00A447EE" w:rsidP="0083744C">
      <w:pPr>
        <w:ind w:left="720"/>
        <w:rPr>
          <w:rFonts w:ascii="Calibri" w:eastAsia="Calibri" w:hAnsi="Calibri" w:cs="Calibri"/>
          <w:sz w:val="22"/>
          <w:szCs w:val="22"/>
        </w:rPr>
      </w:pPr>
    </w:p>
    <w:p w14:paraId="327E7400" w14:textId="7C88E61B" w:rsidR="00A447EE" w:rsidRPr="009248B2" w:rsidRDefault="00A447EE" w:rsidP="00DC59B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 xml:space="preserve">Activités réalisées par les professionnels depuis leur propre domicile (ou tout autre lieu </w:t>
      </w:r>
      <w:r w:rsidR="00C945E1" w:rsidRPr="009248B2">
        <w:rPr>
          <w:rFonts w:ascii="Calibri" w:eastAsia="Calibri" w:hAnsi="Calibri" w:cs="Calibri"/>
          <w:sz w:val="22"/>
          <w:szCs w:val="22"/>
          <w:bdr w:val="none" w:sz="0" w:space="0" w:color="auto"/>
          <w:lang w:val="fr-FR"/>
        </w:rPr>
        <w:t>« </w:t>
      </w:r>
      <w:r w:rsidRPr="009248B2">
        <w:rPr>
          <w:rFonts w:ascii="Calibri" w:eastAsia="Calibri" w:hAnsi="Calibri" w:cs="Calibri"/>
          <w:sz w:val="22"/>
          <w:szCs w:val="22"/>
          <w:bdr w:val="none" w:sz="0" w:space="0" w:color="auto"/>
          <w:lang w:val="fr-FR"/>
        </w:rPr>
        <w:t>non médical</w:t>
      </w:r>
      <w:r w:rsidR="00C945E1" w:rsidRPr="009248B2">
        <w:rPr>
          <w:rFonts w:ascii="Calibri" w:eastAsia="Calibri" w:hAnsi="Calibri" w:cs="Calibri"/>
          <w:sz w:val="22"/>
          <w:szCs w:val="22"/>
          <w:bdr w:val="none" w:sz="0" w:space="0" w:color="auto"/>
          <w:lang w:val="fr-FR"/>
        </w:rPr>
        <w:t> »</w:t>
      </w:r>
      <w:r w:rsidRPr="009248B2">
        <w:rPr>
          <w:rFonts w:ascii="Calibri" w:eastAsia="Calibri" w:hAnsi="Calibri" w:cs="Calibri"/>
          <w:sz w:val="22"/>
          <w:szCs w:val="22"/>
          <w:bdr w:val="none" w:sz="0" w:space="0" w:color="auto"/>
          <w:lang w:val="fr-FR"/>
        </w:rPr>
        <w:t>) : accès aux dossiers de leurs patients, suivi des programmes de prévention de leurs patients, traitement des messages MSS</w:t>
      </w:r>
      <w:r w:rsidR="009248B2" w:rsidRPr="009248B2">
        <w:rPr>
          <w:rFonts w:ascii="Calibri" w:eastAsia="Calibri" w:hAnsi="Calibri" w:cs="Calibri"/>
          <w:sz w:val="22"/>
          <w:szCs w:val="22"/>
          <w:bdr w:val="none" w:sz="0" w:space="0" w:color="auto"/>
          <w:lang w:val="fr-FR"/>
        </w:rPr>
        <w:t>, pratiques de téléconsultation, accès au DMP</w:t>
      </w:r>
    </w:p>
    <w:p w14:paraId="38350230" w14:textId="77777777" w:rsidR="00A447EE" w:rsidRDefault="00A447EE" w:rsidP="00A447EE">
      <w:pPr>
        <w:ind w:left="284"/>
        <w:rPr>
          <w:rFonts w:ascii="Calibri" w:eastAsia="Calibri" w:hAnsi="Calibri" w:cs="Calibri"/>
          <w:sz w:val="22"/>
          <w:szCs w:val="22"/>
        </w:rPr>
      </w:pPr>
    </w:p>
    <w:p w14:paraId="64A1AB46" w14:textId="77777777" w:rsidR="00A447EE" w:rsidRPr="009248B2" w:rsidRDefault="00A447EE" w:rsidP="00DC59B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 xml:space="preserve">Secrétaires médicales, remplaçants médicaux ou </w:t>
      </w:r>
      <w:r w:rsidRPr="009248B2">
        <w:rPr>
          <w:rFonts w:ascii="Calibri" w:eastAsia="Calibri" w:hAnsi="Calibri" w:cs="Calibri"/>
          <w:sz w:val="22"/>
          <w:szCs w:val="22"/>
          <w:u w:val="single"/>
          <w:bdr w:val="none" w:sz="0" w:space="0" w:color="auto"/>
          <w:lang w:val="fr-FR"/>
        </w:rPr>
        <w:t>assistants médicaux</w:t>
      </w:r>
      <w:r w:rsidRPr="009248B2">
        <w:rPr>
          <w:rFonts w:ascii="Calibri" w:eastAsia="Calibri" w:hAnsi="Calibri" w:cs="Calibri"/>
          <w:sz w:val="22"/>
          <w:szCs w:val="22"/>
          <w:bdr w:val="none" w:sz="0" w:space="0" w:color="auto"/>
          <w:lang w:val="fr-FR"/>
        </w:rPr>
        <w:t xml:space="preserve"> agissant en délégation de tâche d’un médecin et ne disposant pas d’une carte physique d’authentification</w:t>
      </w:r>
    </w:p>
    <w:p w14:paraId="29349358" w14:textId="77777777" w:rsidR="00A447EE" w:rsidRDefault="00A447EE" w:rsidP="0083744C">
      <w:pPr>
        <w:ind w:left="720"/>
        <w:rPr>
          <w:rFonts w:ascii="Calibri" w:eastAsia="Calibri" w:hAnsi="Calibri" w:cs="Calibri"/>
          <w:sz w:val="22"/>
          <w:szCs w:val="22"/>
        </w:rPr>
      </w:pPr>
    </w:p>
    <w:p w14:paraId="6105548F" w14:textId="2AF0A5DA" w:rsidR="00A447EE" w:rsidRPr="009248B2" w:rsidRDefault="00A447EE" w:rsidP="00DC59B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 xml:space="preserve">Préparateurs pharmaceutiques : s’affranchir des contraintes actuelles liées aux lecteurs de cartes en officine, pour accéder au DMP ou à tout autre service externe nécessitant une </w:t>
      </w:r>
      <w:r w:rsidR="00334D77" w:rsidRPr="009248B2">
        <w:rPr>
          <w:rFonts w:ascii="Calibri" w:eastAsia="Calibri" w:hAnsi="Calibri" w:cs="Calibri"/>
          <w:sz w:val="22"/>
          <w:szCs w:val="22"/>
          <w:bdr w:val="none" w:sz="0" w:space="0" w:color="auto"/>
          <w:lang w:val="fr-FR"/>
        </w:rPr>
        <w:t>authentification forte</w:t>
      </w:r>
      <w:r w:rsidRPr="009248B2">
        <w:rPr>
          <w:rFonts w:ascii="Calibri" w:eastAsia="Calibri" w:hAnsi="Calibri" w:cs="Calibri"/>
          <w:sz w:val="22"/>
          <w:szCs w:val="22"/>
          <w:bdr w:val="none" w:sz="0" w:space="0" w:color="auto"/>
          <w:lang w:val="fr-FR"/>
        </w:rPr>
        <w:t xml:space="preserve"> CPS</w:t>
      </w:r>
    </w:p>
    <w:p w14:paraId="6D176267" w14:textId="3526EAD3" w:rsidR="009248B2" w:rsidRDefault="009248B2" w:rsidP="0083744C">
      <w:pPr>
        <w:ind w:left="720"/>
        <w:rPr>
          <w:rFonts w:ascii="Calibri" w:eastAsia="Calibri" w:hAnsi="Calibri" w:cs="Calibri"/>
          <w:sz w:val="22"/>
          <w:szCs w:val="22"/>
        </w:rPr>
      </w:pPr>
    </w:p>
    <w:p w14:paraId="310B7F96" w14:textId="5A38E310" w:rsidR="009248B2" w:rsidRPr="009248B2" w:rsidRDefault="009248B2" w:rsidP="00DC59B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Pratiques de télésoin en officine pharmaceutique</w:t>
      </w:r>
      <w:r>
        <w:rPr>
          <w:rFonts w:ascii="Calibri" w:eastAsia="Calibri" w:hAnsi="Calibri" w:cs="Calibri"/>
          <w:sz w:val="22"/>
          <w:szCs w:val="22"/>
          <w:bdr w:val="none" w:sz="0" w:space="0" w:color="auto"/>
          <w:lang w:val="fr-FR"/>
        </w:rPr>
        <w:t> : accompagnement des patients présents et support d’une téléconsultation avec un médecin distant, téléconsultation en propre au titre d’actes de suivi (observance, accompagnement patients, …)</w:t>
      </w:r>
    </w:p>
    <w:p w14:paraId="2489D7A1" w14:textId="77777777" w:rsidR="00A447EE" w:rsidRDefault="00A447EE" w:rsidP="0083744C">
      <w:pPr>
        <w:ind w:left="720"/>
        <w:rPr>
          <w:rFonts w:ascii="Calibri" w:eastAsia="Calibri" w:hAnsi="Calibri" w:cs="Calibri"/>
          <w:sz w:val="22"/>
          <w:szCs w:val="22"/>
        </w:rPr>
      </w:pPr>
    </w:p>
    <w:p w14:paraId="5722019F" w14:textId="77777777" w:rsidR="00A447EE" w:rsidRPr="009248B2" w:rsidRDefault="00A447EE" w:rsidP="00DC59B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Personnels hospitaliers en situation d’accès aux services du SIH, ou à un service externe nécessitant une authentification forte (DMP) : favoriser l’usage d’une authentification forte compte tenu du déficit de déploiement des cartes CPS dans les établissements</w:t>
      </w:r>
    </w:p>
    <w:p w14:paraId="4EA50B33" w14:textId="77777777" w:rsidR="00A447EE" w:rsidRDefault="00A447EE" w:rsidP="0083744C">
      <w:pPr>
        <w:ind w:left="720"/>
        <w:rPr>
          <w:rFonts w:ascii="Calibri" w:eastAsia="Calibri" w:hAnsi="Calibri" w:cs="Calibri"/>
          <w:sz w:val="22"/>
          <w:szCs w:val="22"/>
        </w:rPr>
      </w:pPr>
    </w:p>
    <w:p w14:paraId="2CAB8696" w14:textId="77777777" w:rsidR="00A447EE" w:rsidRPr="009248B2" w:rsidRDefault="00A447EE" w:rsidP="00DC59B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Professionnels en situation de pratique d’un acte de télésoin</w:t>
      </w:r>
    </w:p>
    <w:p w14:paraId="4B56E0EA" w14:textId="77777777" w:rsidR="00A447EE" w:rsidRPr="009248B2" w:rsidRDefault="00A447EE" w:rsidP="00DC59B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Médecin pratiquant une téléconsultation à son propre domicile dans le cadre d’une organisation de travail aménagée à cet effet, ou sur un lieu de vacances</w:t>
      </w:r>
    </w:p>
    <w:p w14:paraId="5EFF423B" w14:textId="7A942FF8" w:rsidR="00A447EE" w:rsidRPr="009248B2" w:rsidRDefault="00A447EE" w:rsidP="00DC59B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Professionnel support d’une téléconsultation, depuis le domicile du patient (infirmière, kiné)</w:t>
      </w:r>
      <w:r w:rsidR="009248B2" w:rsidRPr="009248B2">
        <w:rPr>
          <w:rFonts w:ascii="Calibri" w:eastAsia="Calibri" w:hAnsi="Calibri" w:cs="Calibri"/>
          <w:sz w:val="22"/>
          <w:szCs w:val="22"/>
          <w:bdr w:val="none" w:sz="0" w:space="0" w:color="auto"/>
          <w:lang w:val="fr-FR"/>
        </w:rPr>
        <w:t xml:space="preserve"> ou en officine pharmaceutique</w:t>
      </w:r>
    </w:p>
    <w:p w14:paraId="019CA761" w14:textId="77777777" w:rsidR="00A447EE" w:rsidRDefault="00A447EE" w:rsidP="00A447EE">
      <w:pPr>
        <w:ind w:left="284"/>
        <w:rPr>
          <w:rFonts w:ascii="Calibri" w:eastAsia="Calibri" w:hAnsi="Calibri" w:cs="Calibri"/>
          <w:sz w:val="22"/>
          <w:szCs w:val="22"/>
        </w:rPr>
      </w:pPr>
    </w:p>
    <w:p w14:paraId="71CDF4D3" w14:textId="6F5ACA46" w:rsidR="00A447EE" w:rsidRDefault="00A447EE" w:rsidP="00A447EE">
      <w:pPr>
        <w:ind w:left="284"/>
        <w:rPr>
          <w:rFonts w:ascii="Calibri" w:eastAsia="Calibri" w:hAnsi="Calibri" w:cs="Calibri"/>
          <w:sz w:val="22"/>
          <w:szCs w:val="22"/>
        </w:rPr>
      </w:pPr>
    </w:p>
    <w:p w14:paraId="05363286" w14:textId="63CD77AC" w:rsidR="00A447EE" w:rsidRDefault="00A447EE" w:rsidP="0083744C">
      <w:pPr>
        <w:ind w:firstLine="720"/>
        <w:rPr>
          <w:rFonts w:ascii="Calibri" w:eastAsia="Calibri" w:hAnsi="Calibri" w:cs="Calibri"/>
          <w:sz w:val="22"/>
          <w:szCs w:val="22"/>
        </w:rPr>
      </w:pPr>
      <w:r>
        <w:rPr>
          <w:rFonts w:ascii="Calibri" w:eastAsia="Calibri" w:hAnsi="Calibri" w:cs="Calibri"/>
          <w:sz w:val="22"/>
          <w:szCs w:val="22"/>
        </w:rPr>
        <w:t>Point de vigilance 1</w:t>
      </w:r>
    </w:p>
    <w:p w14:paraId="0B3D050A" w14:textId="6FD64469" w:rsidR="00A447EE" w:rsidRDefault="00334E52" w:rsidP="0083744C">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41184" behindDoc="0" locked="0" layoutInCell="1" allowOverlap="1" wp14:anchorId="0A0B536E" wp14:editId="09D74D09">
            <wp:simplePos x="0" y="0"/>
            <wp:positionH relativeFrom="column">
              <wp:posOffset>148493</wp:posOffset>
            </wp:positionH>
            <wp:positionV relativeFrom="paragraph">
              <wp:posOffset>12700</wp:posOffset>
            </wp:positionV>
            <wp:extent cx="228600" cy="228600"/>
            <wp:effectExtent l="25400" t="12700" r="76200" b="63500"/>
            <wp:wrapNone/>
            <wp:docPr id="10" name="Graphique 10"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Pr>
          <w:rFonts w:ascii="Calibri" w:eastAsia="Calibri" w:hAnsi="Calibri" w:cs="Calibri"/>
          <w:sz w:val="22"/>
          <w:szCs w:val="22"/>
        </w:rPr>
        <w:t>La majeure partie des actions réalisées par les PS, à l’exception de l’usage de la MSS, nécessitent une double lecture des cartes CPS et Vitale. Cette lecture se fait à partir d’un boitier à double fente, ou de dispositifs de lecture mobiles embarqués dans des tablettes (cover).</w:t>
      </w:r>
    </w:p>
    <w:p w14:paraId="3EF7199D" w14:textId="77777777" w:rsidR="00A447EE" w:rsidRDefault="00A447EE" w:rsidP="0083744C">
      <w:pPr>
        <w:ind w:left="720"/>
        <w:rPr>
          <w:rFonts w:ascii="Calibri" w:eastAsia="Calibri" w:hAnsi="Calibri" w:cs="Calibri"/>
          <w:sz w:val="22"/>
          <w:szCs w:val="22"/>
        </w:rPr>
      </w:pPr>
      <w:r>
        <w:rPr>
          <w:rFonts w:ascii="Calibri" w:eastAsia="Calibri" w:hAnsi="Calibri" w:cs="Calibri"/>
          <w:sz w:val="22"/>
          <w:szCs w:val="22"/>
        </w:rPr>
        <w:t>L’objectif de dématérialisation de la carte CPS suppose donc, si l’on souhaite s’affranchir du lecteur auquel elle est attachée, une dématérialisation conjointe de la carte Vitale du patient.</w:t>
      </w:r>
    </w:p>
    <w:p w14:paraId="71D81A57" w14:textId="3C49D944" w:rsidR="00A447EE" w:rsidRDefault="00A447EE" w:rsidP="0083744C">
      <w:pPr>
        <w:ind w:left="720"/>
        <w:rPr>
          <w:rFonts w:ascii="Calibri" w:eastAsia="Calibri" w:hAnsi="Calibri" w:cs="Calibri"/>
          <w:sz w:val="22"/>
          <w:szCs w:val="22"/>
        </w:rPr>
      </w:pPr>
      <w:r>
        <w:rPr>
          <w:rFonts w:ascii="Calibri" w:eastAsia="Calibri" w:hAnsi="Calibri" w:cs="Calibri"/>
          <w:sz w:val="22"/>
          <w:szCs w:val="22"/>
        </w:rPr>
        <w:t>A défaut, la possibilité de n’utiliser que les Webservices INS, après contrôle visuel des informations de la carte Vitale par le PS pour attester de l’identité du patient, doit être envisagée.</w:t>
      </w:r>
    </w:p>
    <w:p w14:paraId="0A776076" w14:textId="77777777" w:rsidR="00A447EE" w:rsidRDefault="00A447EE" w:rsidP="00A447EE">
      <w:pPr>
        <w:ind w:left="284"/>
        <w:rPr>
          <w:rFonts w:ascii="Calibri" w:eastAsia="Calibri" w:hAnsi="Calibri" w:cs="Calibri"/>
          <w:sz w:val="22"/>
          <w:szCs w:val="22"/>
        </w:rPr>
      </w:pPr>
    </w:p>
    <w:p w14:paraId="20BC553A" w14:textId="1B1BF639" w:rsidR="00A447EE" w:rsidRDefault="00A447EE" w:rsidP="00A447EE">
      <w:pPr>
        <w:ind w:left="284"/>
        <w:rPr>
          <w:rFonts w:ascii="Calibri" w:eastAsia="Calibri" w:hAnsi="Calibri" w:cs="Calibri"/>
          <w:sz w:val="22"/>
          <w:szCs w:val="22"/>
        </w:rPr>
      </w:pPr>
    </w:p>
    <w:p w14:paraId="741E5B0C" w14:textId="625532D1" w:rsidR="00A447EE" w:rsidRDefault="00A447EE" w:rsidP="0083744C">
      <w:pPr>
        <w:ind w:firstLine="720"/>
        <w:rPr>
          <w:rFonts w:ascii="Calibri" w:eastAsia="Calibri" w:hAnsi="Calibri" w:cs="Calibri"/>
          <w:sz w:val="22"/>
          <w:szCs w:val="22"/>
        </w:rPr>
      </w:pPr>
      <w:r>
        <w:rPr>
          <w:rFonts w:ascii="Calibri" w:eastAsia="Calibri" w:hAnsi="Calibri" w:cs="Calibri"/>
          <w:sz w:val="22"/>
          <w:szCs w:val="22"/>
        </w:rPr>
        <w:t>Point de vigilance 2</w:t>
      </w:r>
    </w:p>
    <w:p w14:paraId="4B97D86A" w14:textId="798B63A0" w:rsidR="00A447EE" w:rsidRDefault="00334E52" w:rsidP="0083744C">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43232" behindDoc="0" locked="0" layoutInCell="1" allowOverlap="1" wp14:anchorId="7D4942B9" wp14:editId="24AB1D9D">
            <wp:simplePos x="0" y="0"/>
            <wp:positionH relativeFrom="column">
              <wp:posOffset>131445</wp:posOffset>
            </wp:positionH>
            <wp:positionV relativeFrom="paragraph">
              <wp:posOffset>50800</wp:posOffset>
            </wp:positionV>
            <wp:extent cx="228600" cy="228600"/>
            <wp:effectExtent l="25400" t="12700" r="76200" b="63500"/>
            <wp:wrapNone/>
            <wp:docPr id="11" name="Graphique 1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Pr>
          <w:rFonts w:ascii="Calibri" w:eastAsia="Calibri" w:hAnsi="Calibri" w:cs="Calibri"/>
          <w:sz w:val="22"/>
          <w:szCs w:val="22"/>
        </w:rPr>
        <w:t>Nombre d’usages des services d’authentification dématérialisés sont appelés à être réalisés par des professionnels n’appartenant pas nécessairement à une profession à ordre.</w:t>
      </w:r>
    </w:p>
    <w:p w14:paraId="1B563A7E" w14:textId="3E70C280" w:rsidR="00A447EE" w:rsidRDefault="00A447EE" w:rsidP="0083744C">
      <w:pPr>
        <w:ind w:left="720"/>
        <w:rPr>
          <w:rFonts w:ascii="Calibri" w:eastAsia="Calibri" w:hAnsi="Calibri" w:cs="Calibri"/>
          <w:sz w:val="22"/>
          <w:szCs w:val="22"/>
        </w:rPr>
      </w:pPr>
      <w:r>
        <w:rPr>
          <w:rFonts w:ascii="Calibri" w:eastAsia="Calibri" w:hAnsi="Calibri" w:cs="Calibri"/>
          <w:sz w:val="22"/>
          <w:szCs w:val="22"/>
        </w:rPr>
        <w:t>Dans la mesure où le service e-CPS est attaché à l’annuaire CPS, les dispositions suivantes doivent être adoptées pour lever les freins actuels.</w:t>
      </w:r>
    </w:p>
    <w:p w14:paraId="560EC166" w14:textId="77777777" w:rsidR="00A447EE" w:rsidRDefault="00A447EE" w:rsidP="00744E85">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004"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Dispositions législatives ou règlementaires permettant d’étendre l’annuaire CPS à d’autres catégories de professionnels que celles rattachées à un ordre</w:t>
      </w:r>
    </w:p>
    <w:p w14:paraId="0F1E46CA" w14:textId="77777777" w:rsidR="00A447EE" w:rsidRDefault="00A447EE" w:rsidP="00744E85">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004"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Mise à jour du référentiel d’authentification de la PGSSI-S</w:t>
      </w:r>
    </w:p>
    <w:p w14:paraId="178E79F8" w14:textId="13B869E4" w:rsidR="00A447EE" w:rsidRDefault="00A447EE" w:rsidP="00744E85">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004"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 xml:space="preserve">Adaptation de la matrice d’habilitation </w:t>
      </w:r>
      <w:r w:rsidR="00D46B85">
        <w:rPr>
          <w:rFonts w:ascii="Calibri" w:eastAsia="Calibri" w:hAnsi="Calibri" w:cs="Calibri"/>
          <w:sz w:val="22"/>
          <w:szCs w:val="22"/>
          <w:bdr w:val="none" w:sz="0" w:space="0" w:color="auto"/>
          <w:lang w:val="fr-FR"/>
        </w:rPr>
        <w:t>des services régaliens tels que le</w:t>
      </w:r>
      <w:r>
        <w:rPr>
          <w:rFonts w:ascii="Calibri" w:eastAsia="Calibri" w:hAnsi="Calibri" w:cs="Calibri"/>
          <w:sz w:val="22"/>
          <w:szCs w:val="22"/>
          <w:bdr w:val="none" w:sz="0" w:space="0" w:color="auto"/>
          <w:lang w:val="fr-FR"/>
        </w:rPr>
        <w:t xml:space="preserve"> DMP</w:t>
      </w:r>
    </w:p>
    <w:p w14:paraId="58DB35BA" w14:textId="77777777" w:rsidR="00A447EE" w:rsidRDefault="00A447EE" w:rsidP="00A447EE">
      <w:pPr>
        <w:ind w:left="284"/>
        <w:rPr>
          <w:rFonts w:ascii="Calibri" w:eastAsia="Calibri" w:hAnsi="Calibri" w:cs="Calibri"/>
          <w:sz w:val="22"/>
          <w:szCs w:val="22"/>
        </w:rPr>
      </w:pPr>
    </w:p>
    <w:p w14:paraId="3E127FE7" w14:textId="77777777" w:rsidR="009248B2" w:rsidRDefault="009248B2">
      <w:pPr>
        <w:rPr>
          <w:rFonts w:ascii="Calibri" w:eastAsia="Calibri" w:hAnsi="Calibri" w:cs="Calibri"/>
          <w:sz w:val="22"/>
          <w:szCs w:val="22"/>
        </w:rPr>
      </w:pPr>
      <w:r>
        <w:rPr>
          <w:rFonts w:ascii="Calibri" w:eastAsia="Calibri" w:hAnsi="Calibri" w:cs="Calibri"/>
          <w:sz w:val="22"/>
          <w:szCs w:val="22"/>
        </w:rPr>
        <w:br w:type="page"/>
      </w:r>
    </w:p>
    <w:p w14:paraId="6CA9019A" w14:textId="3761CD6C" w:rsidR="00A447EE" w:rsidRPr="00914819" w:rsidRDefault="00A447EE" w:rsidP="0083744C">
      <w:pPr>
        <w:ind w:left="568"/>
        <w:rPr>
          <w:rFonts w:ascii="Calibri" w:eastAsia="Calibri" w:hAnsi="Calibri" w:cs="Calibri"/>
          <w:sz w:val="22"/>
          <w:szCs w:val="22"/>
        </w:rPr>
      </w:pPr>
      <w:r>
        <w:rPr>
          <w:rFonts w:ascii="Calibri" w:eastAsia="Calibri" w:hAnsi="Calibri" w:cs="Calibri"/>
          <w:sz w:val="22"/>
          <w:szCs w:val="22"/>
        </w:rPr>
        <w:lastRenderedPageBreak/>
        <w:t>Au regard des contraintes à lever, les usages qui nous paraissent les plus à même de mobiliser l’adhésion des professionnels et des industriels à court terme sont les suivants.</w:t>
      </w:r>
    </w:p>
    <w:p w14:paraId="2AAF5367" w14:textId="510319F7" w:rsidR="00A447EE" w:rsidRDefault="00A447EE" w:rsidP="00744E85">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852"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Authentification des professionnels en établissement hospitalier</w:t>
      </w:r>
    </w:p>
    <w:p w14:paraId="231F63F9" w14:textId="7F080719" w:rsidR="00A447EE" w:rsidRDefault="00A447EE" w:rsidP="00744E85">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852"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Activités réalisées par les professionnels depuis leur domicile, pour des patients dont ils assurent déjà la gestion du dossier (pas de nécessité d’usage de la carte Vitale</w:t>
      </w:r>
      <w:r w:rsidR="00334D77">
        <w:rPr>
          <w:rFonts w:ascii="Calibri" w:eastAsia="Calibri" w:hAnsi="Calibri" w:cs="Calibri"/>
          <w:sz w:val="22"/>
          <w:szCs w:val="22"/>
          <w:bdr w:val="none" w:sz="0" w:space="0" w:color="auto"/>
          <w:lang w:val="fr-FR"/>
        </w:rPr>
        <w:t>,</w:t>
      </w:r>
      <w:r>
        <w:rPr>
          <w:rFonts w:ascii="Calibri" w:eastAsia="Calibri" w:hAnsi="Calibri" w:cs="Calibri"/>
          <w:sz w:val="22"/>
          <w:szCs w:val="22"/>
          <w:bdr w:val="none" w:sz="0" w:space="0" w:color="auto"/>
          <w:lang w:val="fr-FR"/>
        </w:rPr>
        <w:t xml:space="preserve"> les patients étant connus et enregistrés dans la base médicale du médecin)</w:t>
      </w:r>
    </w:p>
    <w:p w14:paraId="064AFADD" w14:textId="27D8A410" w:rsidR="00A447EE" w:rsidRDefault="00A447EE" w:rsidP="00744E85">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852"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Réalisation d’un acte de téléconsultation hors du cabinet médical (domicile du médecin par exemple)</w:t>
      </w:r>
      <w:r w:rsidR="009248B2">
        <w:rPr>
          <w:rFonts w:ascii="Calibri" w:eastAsia="Calibri" w:hAnsi="Calibri" w:cs="Calibri"/>
          <w:sz w:val="22"/>
          <w:szCs w:val="22"/>
          <w:bdr w:val="none" w:sz="0" w:space="0" w:color="auto"/>
          <w:lang w:val="fr-FR"/>
        </w:rPr>
        <w:t xml:space="preserve"> ou d’une activité de télésoin au domicile du patient</w:t>
      </w:r>
    </w:p>
    <w:p w14:paraId="058694A1" w14:textId="3D1ACDA8" w:rsidR="00A447EE" w:rsidRDefault="00A447EE" w:rsidP="00744E85">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852"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Préparateurs en pharmacie dans un contexte d’accès au DMP en consultation ou en alimentation</w:t>
      </w:r>
    </w:p>
    <w:p w14:paraId="485089B0" w14:textId="420E0942" w:rsidR="009248B2" w:rsidRDefault="009248B2" w:rsidP="009248B2">
      <w:pPr>
        <w:ind w:left="568"/>
        <w:rPr>
          <w:rFonts w:ascii="Calibri" w:eastAsia="Calibri" w:hAnsi="Calibri" w:cs="Calibri"/>
          <w:sz w:val="22"/>
          <w:szCs w:val="22"/>
        </w:rPr>
      </w:pPr>
    </w:p>
    <w:p w14:paraId="2F85F8A1" w14:textId="77777777" w:rsidR="009248B2" w:rsidRPr="009248B2" w:rsidRDefault="009248B2" w:rsidP="009248B2">
      <w:pPr>
        <w:ind w:left="568"/>
        <w:rPr>
          <w:rFonts w:ascii="Calibri" w:eastAsia="Calibri" w:hAnsi="Calibri" w:cs="Calibri"/>
          <w:sz w:val="22"/>
          <w:szCs w:val="22"/>
        </w:rPr>
      </w:pPr>
    </w:p>
    <w:p w14:paraId="50BBA86E" w14:textId="7818BD71" w:rsidR="00A447EE" w:rsidRPr="00914819" w:rsidRDefault="00AE26E0" w:rsidP="00744E85">
      <w:pPr>
        <w:numPr>
          <w:ilvl w:val="0"/>
          <w:numId w:val="10"/>
        </w:numPr>
        <w:spacing w:after="24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26176" behindDoc="0" locked="0" layoutInCell="1" allowOverlap="1" wp14:anchorId="2AF1D740" wp14:editId="4614CD46">
            <wp:simplePos x="0" y="0"/>
            <wp:positionH relativeFrom="column">
              <wp:posOffset>181465</wp:posOffset>
            </wp:positionH>
            <wp:positionV relativeFrom="paragraph">
              <wp:posOffset>1952625</wp:posOffset>
            </wp:positionV>
            <wp:extent cx="228600" cy="228600"/>
            <wp:effectExtent l="25400" t="12700" r="76200" b="63500"/>
            <wp:wrapNone/>
            <wp:docPr id="19" name="Graphique 1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sidRPr="00914819">
        <w:rPr>
          <w:rFonts w:ascii="Calibri" w:eastAsia="Calibri" w:hAnsi="Calibri" w:cs="Calibri"/>
          <w:sz w:val="22"/>
          <w:szCs w:val="22"/>
          <w:u w:val="single"/>
        </w:rPr>
        <w:t>Volet de Synthèse Médicale</w:t>
      </w:r>
      <w:r w:rsidR="00A447EE" w:rsidRPr="00914819">
        <w:rPr>
          <w:rFonts w:ascii="Calibri" w:eastAsia="Calibri" w:hAnsi="Calibri" w:cs="Calibri"/>
          <w:sz w:val="22"/>
          <w:szCs w:val="22"/>
        </w:rPr>
        <w:br/>
      </w:r>
      <w:r w:rsidR="004B0E17">
        <w:rPr>
          <w:rFonts w:ascii="Calibri" w:eastAsia="Calibri" w:hAnsi="Calibri" w:cs="Calibri"/>
          <w:sz w:val="22"/>
          <w:szCs w:val="22"/>
        </w:rPr>
        <w:br/>
      </w:r>
      <w:r w:rsidR="00A447EE" w:rsidRPr="00914819">
        <w:rPr>
          <w:rFonts w:ascii="Calibri" w:eastAsia="Calibri" w:hAnsi="Calibri" w:cs="Calibri"/>
          <w:sz w:val="22"/>
          <w:szCs w:val="22"/>
        </w:rPr>
        <w:t>Support pivot des échanges avec  le DMP (et à terme des échanges UE transfrontaliers par analogie avec le Medical Summary), mais également entre le médecin traitant et d’autres professionnels.</w:t>
      </w:r>
      <w:r w:rsidR="00A447EE" w:rsidRPr="00914819">
        <w:rPr>
          <w:rFonts w:ascii="Calibri" w:eastAsia="Calibri" w:hAnsi="Calibri" w:cs="Calibri"/>
          <w:sz w:val="22"/>
          <w:szCs w:val="22"/>
        </w:rPr>
        <w:br/>
        <w:t>La majeure partie des logiciels de ville est en capacité de générer automatiquement un VSM à partir des données du dossier patient (degrés variables entre HL7-CDA-N2 et CDA-N3).</w:t>
      </w:r>
      <w:r w:rsidR="00A447EE">
        <w:rPr>
          <w:rFonts w:ascii="Calibri" w:eastAsia="Calibri" w:hAnsi="Calibri" w:cs="Calibri"/>
          <w:sz w:val="22"/>
          <w:szCs w:val="22"/>
        </w:rPr>
        <w:br/>
      </w:r>
      <w:r w:rsidR="00A447EE" w:rsidRPr="00914819">
        <w:rPr>
          <w:rFonts w:ascii="Calibri" w:eastAsia="Calibri" w:hAnsi="Calibri" w:cs="Calibri"/>
          <w:sz w:val="22"/>
          <w:szCs w:val="22"/>
        </w:rPr>
        <w:br/>
        <w:t xml:space="preserve">La question de son alimentation à partir de données structurées se heurte aux revendications des médecins qui souhaitent une rémunération pour le temps qu’ils doivent consacrer à la mise à </w:t>
      </w:r>
      <w:r w:rsidR="003F6C49">
        <w:rPr>
          <w:rFonts w:ascii="Calibri" w:eastAsia="Calibri" w:hAnsi="Calibri" w:cs="Calibri"/>
          <w:sz w:val="22"/>
          <w:szCs w:val="22"/>
        </w:rPr>
        <w:t>jour</w:t>
      </w:r>
      <w:r w:rsidR="00A447EE" w:rsidRPr="00914819">
        <w:rPr>
          <w:rFonts w:ascii="Calibri" w:eastAsia="Calibri" w:hAnsi="Calibri" w:cs="Calibri"/>
          <w:sz w:val="22"/>
          <w:szCs w:val="22"/>
        </w:rPr>
        <w:t xml:space="preserve"> d</w:t>
      </w:r>
      <w:r w:rsidR="003F6C49">
        <w:rPr>
          <w:rFonts w:ascii="Calibri" w:eastAsia="Calibri" w:hAnsi="Calibri" w:cs="Calibri"/>
          <w:sz w:val="22"/>
          <w:szCs w:val="22"/>
        </w:rPr>
        <w:t>e leurs dossiers patients (identification des données constitutives pertinentes du VSM et enrichissement éventuel des dossiers existants).</w:t>
      </w:r>
      <w:r w:rsidR="00A447EE" w:rsidRPr="00914819">
        <w:rPr>
          <w:rFonts w:ascii="Calibri" w:eastAsia="Calibri" w:hAnsi="Calibri" w:cs="Calibri"/>
          <w:sz w:val="22"/>
          <w:szCs w:val="22"/>
        </w:rPr>
        <w:br/>
        <w:t>La ROSP serait en mesure de soutenir cette approche, sous réserve d’un</w:t>
      </w:r>
      <w:r w:rsidR="00A447EE">
        <w:rPr>
          <w:rFonts w:ascii="Calibri" w:eastAsia="Calibri" w:hAnsi="Calibri" w:cs="Calibri"/>
          <w:sz w:val="22"/>
          <w:szCs w:val="22"/>
        </w:rPr>
        <w:t>e</w:t>
      </w:r>
      <w:r w:rsidR="00A447EE" w:rsidRPr="00914819">
        <w:rPr>
          <w:rFonts w:ascii="Calibri" w:eastAsia="Calibri" w:hAnsi="Calibri" w:cs="Calibri"/>
          <w:sz w:val="22"/>
          <w:szCs w:val="22"/>
        </w:rPr>
        <w:t xml:space="preserve"> ouverture de négociations conventionnelles et d’un alignement des syndicats</w:t>
      </w:r>
      <w:r w:rsidR="003F6C49">
        <w:rPr>
          <w:rFonts w:ascii="Calibri" w:eastAsia="Calibri" w:hAnsi="Calibri" w:cs="Calibri"/>
          <w:sz w:val="22"/>
          <w:szCs w:val="22"/>
        </w:rPr>
        <w:t xml:space="preserve"> sur les propositions de l’assurance maladie</w:t>
      </w:r>
      <w:r w:rsidR="00A447EE" w:rsidRPr="00914819">
        <w:rPr>
          <w:rFonts w:ascii="Calibri" w:eastAsia="Calibri" w:hAnsi="Calibri" w:cs="Calibri"/>
          <w:sz w:val="22"/>
          <w:szCs w:val="22"/>
        </w:rPr>
        <w:t xml:space="preserve">. Dans cette hypothèse, la CNAM </w:t>
      </w:r>
      <w:r w:rsidR="003F6C49">
        <w:rPr>
          <w:rFonts w:ascii="Calibri" w:eastAsia="Calibri" w:hAnsi="Calibri" w:cs="Calibri"/>
          <w:sz w:val="22"/>
          <w:szCs w:val="22"/>
        </w:rPr>
        <w:t>devrait selon nous s’appuyer sur</w:t>
      </w:r>
      <w:r w:rsidR="00A447EE" w:rsidRPr="00914819">
        <w:rPr>
          <w:rFonts w:ascii="Calibri" w:eastAsia="Calibri" w:hAnsi="Calibri" w:cs="Calibri"/>
          <w:sz w:val="22"/>
          <w:szCs w:val="22"/>
        </w:rPr>
        <w:t xml:space="preserve"> des mécanismes d’incitation indexés sur des critères d’usages effectifs</w:t>
      </w:r>
      <w:r w:rsidR="003F6C49">
        <w:rPr>
          <w:rFonts w:ascii="Calibri" w:eastAsia="Calibri" w:hAnsi="Calibri" w:cs="Calibri"/>
          <w:sz w:val="22"/>
          <w:szCs w:val="22"/>
        </w:rPr>
        <w:t xml:space="preserve"> (dénombrement des VSM déposés sur le DMP au regard de la patientèle gérée, avec bonification complémentaire pour alimentation au titre d’alimentations effectuées sur la base de données structurées)</w:t>
      </w:r>
      <w:r w:rsidR="00A447EE" w:rsidRPr="00914819">
        <w:rPr>
          <w:rFonts w:ascii="Calibri" w:eastAsia="Calibri" w:hAnsi="Calibri" w:cs="Calibri"/>
          <w:sz w:val="22"/>
          <w:szCs w:val="22"/>
        </w:rPr>
        <w:t>.</w:t>
      </w:r>
      <w:r w:rsidR="00A447EE" w:rsidRPr="00914819">
        <w:rPr>
          <w:rFonts w:ascii="Calibri" w:eastAsia="Calibri" w:hAnsi="Calibri" w:cs="Calibri"/>
          <w:sz w:val="22"/>
          <w:szCs w:val="22"/>
        </w:rPr>
        <w:br/>
        <w:t xml:space="preserve">S’agissant d’une hypothèse incertaine, sans doute conviendrait-il de faire un état des lieux objectif des modalités de gestion du VSM </w:t>
      </w:r>
      <w:r w:rsidR="009248B2">
        <w:rPr>
          <w:rFonts w:ascii="Calibri" w:eastAsia="Calibri" w:hAnsi="Calibri" w:cs="Calibri"/>
          <w:sz w:val="22"/>
          <w:szCs w:val="22"/>
        </w:rPr>
        <w:t xml:space="preserve">(analyse des données constitutives du VSM et mesure de la charge de mise à niveau des dossiers) </w:t>
      </w:r>
      <w:r w:rsidR="00A447EE" w:rsidRPr="00914819">
        <w:rPr>
          <w:rFonts w:ascii="Calibri" w:eastAsia="Calibri" w:hAnsi="Calibri" w:cs="Calibri"/>
          <w:sz w:val="22"/>
          <w:szCs w:val="22"/>
        </w:rPr>
        <w:t>auprès d’un échantillon représentatif de médecins. La FEIMA pourrait s’en charger.</w:t>
      </w:r>
    </w:p>
    <w:p w14:paraId="4A396A9D" w14:textId="22D1E3E1" w:rsidR="00A447EE" w:rsidRPr="00914819" w:rsidRDefault="00334E52" w:rsidP="00744E85">
      <w:pPr>
        <w:numPr>
          <w:ilvl w:val="0"/>
          <w:numId w:val="10"/>
        </w:numPr>
        <w:spacing w:after="24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45280" behindDoc="0" locked="0" layoutInCell="1" allowOverlap="1" wp14:anchorId="4DC23F53" wp14:editId="0CA7B534">
            <wp:simplePos x="0" y="0"/>
            <wp:positionH relativeFrom="column">
              <wp:posOffset>177310</wp:posOffset>
            </wp:positionH>
            <wp:positionV relativeFrom="paragraph">
              <wp:posOffset>1633855</wp:posOffset>
            </wp:positionV>
            <wp:extent cx="228600" cy="228600"/>
            <wp:effectExtent l="25400" t="12700" r="76200" b="63500"/>
            <wp:wrapNone/>
            <wp:docPr id="12" name="Graphique 1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sidRPr="00AC66D0">
        <w:rPr>
          <w:rFonts w:ascii="Calibri" w:eastAsia="Calibri" w:hAnsi="Calibri" w:cs="Calibri"/>
          <w:sz w:val="22"/>
          <w:szCs w:val="22"/>
          <w:u w:val="single"/>
        </w:rPr>
        <w:t>Lettre de Liaison en sortie</w:t>
      </w:r>
      <w:r w:rsidR="00A447EE" w:rsidRPr="00914819">
        <w:rPr>
          <w:rFonts w:ascii="Calibri" w:eastAsia="Calibri" w:hAnsi="Calibri" w:cs="Calibri"/>
          <w:sz w:val="22"/>
          <w:szCs w:val="22"/>
        </w:rPr>
        <w:t xml:space="preserve"> </w:t>
      </w:r>
      <w:r w:rsidR="00AC66D0">
        <w:rPr>
          <w:rFonts w:ascii="Calibri" w:eastAsia="Calibri" w:hAnsi="Calibri" w:cs="Calibri"/>
          <w:sz w:val="22"/>
          <w:szCs w:val="22"/>
        </w:rPr>
        <w:t>(</w:t>
      </w:r>
      <w:r w:rsidR="00A447EE" w:rsidRPr="00914819">
        <w:rPr>
          <w:rFonts w:ascii="Calibri" w:eastAsia="Calibri" w:hAnsi="Calibri" w:cs="Calibri"/>
          <w:sz w:val="22"/>
          <w:szCs w:val="22"/>
        </w:rPr>
        <w:t xml:space="preserve">puis en entrée) </w:t>
      </w:r>
      <w:r w:rsidR="00A447EE" w:rsidRPr="00914819">
        <w:rPr>
          <w:rFonts w:ascii="Calibri" w:eastAsia="Calibri" w:hAnsi="Calibri" w:cs="Calibri"/>
          <w:sz w:val="22"/>
          <w:szCs w:val="22"/>
        </w:rPr>
        <w:br/>
      </w:r>
      <w:r w:rsidR="004B0E17">
        <w:rPr>
          <w:rFonts w:ascii="Calibri" w:eastAsia="Calibri" w:hAnsi="Calibri" w:cs="Calibri"/>
          <w:sz w:val="22"/>
          <w:szCs w:val="22"/>
        </w:rPr>
        <w:br/>
      </w:r>
      <w:r w:rsidR="00A447EE" w:rsidRPr="00914819">
        <w:rPr>
          <w:rFonts w:ascii="Calibri" w:eastAsia="Calibri" w:hAnsi="Calibri" w:cs="Calibri"/>
          <w:sz w:val="22"/>
          <w:szCs w:val="22"/>
        </w:rPr>
        <w:t xml:space="preserve">Support emblématique du décloisonnement ville-hôpital. Pour l’heure, seule la lettre de liaison en sortie d’hôpital a été prise en compte. Rien n’a été fait sur la LDL produite par un médecin de ville qui adresse son patient à l’hôpital, bien que la ministre ait récemment demandé à la </w:t>
      </w:r>
      <w:r w:rsidR="00A447EE">
        <w:rPr>
          <w:rFonts w:ascii="Calibri" w:eastAsia="Calibri" w:hAnsi="Calibri" w:cs="Calibri"/>
          <w:sz w:val="22"/>
          <w:szCs w:val="22"/>
        </w:rPr>
        <w:t>HAS de se pencher sur le sujet</w:t>
      </w:r>
      <w:r w:rsidR="00A447EE" w:rsidRPr="00914819">
        <w:rPr>
          <w:rFonts w:ascii="Calibri" w:eastAsia="Calibri" w:hAnsi="Calibri" w:cs="Calibri"/>
          <w:sz w:val="22"/>
          <w:szCs w:val="22"/>
        </w:rPr>
        <w:t>.</w:t>
      </w:r>
      <w:r w:rsidR="00A447EE" w:rsidRPr="00914819">
        <w:rPr>
          <w:rFonts w:ascii="Calibri" w:eastAsia="Calibri" w:hAnsi="Calibri" w:cs="Calibri"/>
          <w:sz w:val="22"/>
          <w:szCs w:val="22"/>
        </w:rPr>
        <w:br/>
        <w:t xml:space="preserve">La LDL en sortie n’est produite qu’au format PDF. Il conviendrait de vérifier si les </w:t>
      </w:r>
      <w:r w:rsidR="00A447EE">
        <w:rPr>
          <w:rFonts w:ascii="Calibri" w:eastAsia="Calibri" w:hAnsi="Calibri" w:cs="Calibri"/>
          <w:sz w:val="22"/>
          <w:szCs w:val="22"/>
        </w:rPr>
        <w:t>établissements hospitaliers</w:t>
      </w:r>
      <w:r w:rsidR="00A447EE" w:rsidRPr="00914819">
        <w:rPr>
          <w:rFonts w:ascii="Calibri" w:eastAsia="Calibri" w:hAnsi="Calibri" w:cs="Calibri"/>
          <w:sz w:val="22"/>
          <w:szCs w:val="22"/>
        </w:rPr>
        <w:t xml:space="preserve"> </w:t>
      </w:r>
      <w:r w:rsidR="00A447EE">
        <w:rPr>
          <w:rFonts w:ascii="Calibri" w:eastAsia="Calibri" w:hAnsi="Calibri" w:cs="Calibri"/>
          <w:sz w:val="22"/>
          <w:szCs w:val="22"/>
        </w:rPr>
        <w:t xml:space="preserve">(ETS) </w:t>
      </w:r>
      <w:r w:rsidR="00A447EE" w:rsidRPr="00914819">
        <w:rPr>
          <w:rFonts w:ascii="Calibri" w:eastAsia="Calibri" w:hAnsi="Calibri" w:cs="Calibri"/>
          <w:sz w:val="22"/>
          <w:szCs w:val="22"/>
        </w:rPr>
        <w:t xml:space="preserve">la produisent à minima </w:t>
      </w:r>
      <w:r w:rsidR="00A447EE">
        <w:rPr>
          <w:rFonts w:ascii="Calibri" w:eastAsia="Calibri" w:hAnsi="Calibri" w:cs="Calibri"/>
          <w:sz w:val="22"/>
          <w:szCs w:val="22"/>
        </w:rPr>
        <w:t>au format</w:t>
      </w:r>
      <w:r w:rsidR="00A447EE" w:rsidRPr="00914819">
        <w:rPr>
          <w:rFonts w:ascii="Calibri" w:eastAsia="Calibri" w:hAnsi="Calibri" w:cs="Calibri"/>
          <w:sz w:val="22"/>
          <w:szCs w:val="22"/>
        </w:rPr>
        <w:t xml:space="preserve"> CDA-N2, dans le respect du volet défini dans le CI-SIS.</w:t>
      </w:r>
      <w:r w:rsidR="00A447EE" w:rsidRPr="00914819">
        <w:rPr>
          <w:rFonts w:ascii="Calibri" w:eastAsia="Calibri" w:hAnsi="Calibri" w:cs="Calibri"/>
          <w:sz w:val="22"/>
          <w:szCs w:val="22"/>
        </w:rPr>
        <w:br/>
        <w:t>Les LDL qui sont transmises par les ETS à leurs correspondants de ville via MSS ne permettent pas d’être intégrées automatiquement dans les dossiers patients par leurs LPS. Les entêtes de messages MSS ne sont en effet pas structurées (IHE-XDM + métadonnées CDA minimales) par les ETS. Il s’agit d’un écueil majeur qui freine toute adhésion des PS libéraux aux usages de la MSS.</w:t>
      </w:r>
      <w:r w:rsidR="00A447EE" w:rsidRPr="00914819">
        <w:rPr>
          <w:rFonts w:ascii="Calibri" w:eastAsia="Calibri" w:hAnsi="Calibri" w:cs="Calibri"/>
          <w:sz w:val="22"/>
          <w:szCs w:val="22"/>
        </w:rPr>
        <w:br/>
        <w:t>Une action prioritaire devrait être menée pour que l’ensemble des acteurs se conforment à cette exigence qui pourrait prendre un caractère d’opposabilité (quel que soit le type de support échangé d’ailleurs).</w:t>
      </w:r>
      <w:r w:rsidR="001850AF">
        <w:rPr>
          <w:rFonts w:ascii="Calibri" w:eastAsia="Calibri" w:hAnsi="Calibri" w:cs="Calibri"/>
          <w:sz w:val="22"/>
          <w:szCs w:val="22"/>
        </w:rPr>
        <w:t xml:space="preserve">  </w:t>
      </w:r>
      <w:r w:rsidR="00A447EE" w:rsidRPr="00914819">
        <w:rPr>
          <w:rFonts w:ascii="Calibri" w:eastAsia="Calibri" w:hAnsi="Calibri" w:cs="Calibri"/>
          <w:sz w:val="22"/>
          <w:szCs w:val="22"/>
        </w:rPr>
        <w:br/>
      </w:r>
      <w:r w:rsidR="00A447EE" w:rsidRPr="00914819">
        <w:rPr>
          <w:rFonts w:ascii="Calibri" w:eastAsia="Calibri" w:hAnsi="Calibri" w:cs="Calibri"/>
          <w:sz w:val="22"/>
          <w:szCs w:val="22"/>
        </w:rPr>
        <w:br/>
        <w:t xml:space="preserve">S’agissant de la LDL en entrée, autrement dit celle produite par un professionnel de ville adressant un patient à l’hôpital, rien n’a été fait jusqu’alors. Il </w:t>
      </w:r>
      <w:r w:rsidR="00A447EE">
        <w:rPr>
          <w:rFonts w:ascii="Calibri" w:eastAsia="Calibri" w:hAnsi="Calibri" w:cs="Calibri"/>
          <w:sz w:val="22"/>
          <w:szCs w:val="22"/>
        </w:rPr>
        <w:t>nous</w:t>
      </w:r>
      <w:r w:rsidR="00A447EE" w:rsidRPr="00914819">
        <w:rPr>
          <w:rFonts w:ascii="Calibri" w:eastAsia="Calibri" w:hAnsi="Calibri" w:cs="Calibri"/>
          <w:sz w:val="22"/>
          <w:szCs w:val="22"/>
        </w:rPr>
        <w:t xml:space="preserve"> semble qu’il pourrait s’agir d’un sujet de mobilisation important, dans l’immédiate proximité des travaux sur la LDL en entrée, dès lors que </w:t>
      </w:r>
      <w:r w:rsidR="00A447EE" w:rsidRPr="00914819">
        <w:rPr>
          <w:rFonts w:ascii="Calibri" w:eastAsia="Calibri" w:hAnsi="Calibri" w:cs="Calibri"/>
          <w:sz w:val="22"/>
          <w:szCs w:val="22"/>
        </w:rPr>
        <w:lastRenderedPageBreak/>
        <w:t>ces derniers ont été menés à terme. Il conviendra dans cette perspective, de vérifier le niveau potentiel de recoupement avec le VSM afin d’être en mesure de tirer parti des réalisations faites sur ce dernier volet.</w:t>
      </w:r>
    </w:p>
    <w:p w14:paraId="17BBDD08" w14:textId="7FFE1EF1" w:rsidR="00A447EE" w:rsidRPr="00914819" w:rsidRDefault="004B0E17" w:rsidP="00744E85">
      <w:pPr>
        <w:numPr>
          <w:ilvl w:val="0"/>
          <w:numId w:val="10"/>
        </w:numPr>
        <w:spacing w:after="24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49376" behindDoc="0" locked="0" layoutInCell="1" allowOverlap="1" wp14:anchorId="76E3E341" wp14:editId="1A4145D4">
            <wp:simplePos x="0" y="0"/>
            <wp:positionH relativeFrom="column">
              <wp:posOffset>140335</wp:posOffset>
            </wp:positionH>
            <wp:positionV relativeFrom="paragraph">
              <wp:posOffset>6005975</wp:posOffset>
            </wp:positionV>
            <wp:extent cx="228600" cy="228600"/>
            <wp:effectExtent l="25400" t="12700" r="76200" b="63500"/>
            <wp:wrapNone/>
            <wp:docPr id="15" name="Graphique 15"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34E52">
        <w:rPr>
          <w:rFonts w:ascii="Calibri" w:eastAsia="Calibri" w:hAnsi="Calibri" w:cs="Calibri"/>
          <w:noProof/>
          <w:sz w:val="22"/>
          <w:szCs w:val="22"/>
        </w:rPr>
        <w:drawing>
          <wp:anchor distT="0" distB="0" distL="114300" distR="114300" simplePos="0" relativeHeight="251747328" behindDoc="0" locked="0" layoutInCell="1" allowOverlap="1" wp14:anchorId="23F95CDE" wp14:editId="52F600AE">
            <wp:simplePos x="0" y="0"/>
            <wp:positionH relativeFrom="column">
              <wp:posOffset>140335</wp:posOffset>
            </wp:positionH>
            <wp:positionV relativeFrom="paragraph">
              <wp:posOffset>3646315</wp:posOffset>
            </wp:positionV>
            <wp:extent cx="228600" cy="228600"/>
            <wp:effectExtent l="25400" t="12700" r="76200" b="63500"/>
            <wp:wrapNone/>
            <wp:docPr id="14" name="Graphique 1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sidRPr="00914819">
        <w:rPr>
          <w:rFonts w:ascii="Calibri" w:eastAsia="Calibri" w:hAnsi="Calibri" w:cs="Calibri"/>
          <w:sz w:val="22"/>
          <w:szCs w:val="22"/>
          <w:u w:val="single"/>
        </w:rPr>
        <w:t>Compte-Rendu d’examens</w:t>
      </w:r>
      <w:r w:rsidR="00A447EE" w:rsidRPr="00914819">
        <w:rPr>
          <w:rFonts w:ascii="Calibri" w:eastAsia="Calibri" w:hAnsi="Calibri" w:cs="Calibri"/>
          <w:sz w:val="22"/>
          <w:szCs w:val="22"/>
        </w:rPr>
        <w:br/>
      </w:r>
      <w:r>
        <w:rPr>
          <w:rFonts w:ascii="Calibri" w:eastAsia="Calibri" w:hAnsi="Calibri" w:cs="Calibri"/>
          <w:sz w:val="22"/>
          <w:szCs w:val="22"/>
        </w:rPr>
        <w:br/>
      </w:r>
      <w:r w:rsidR="00A447EE" w:rsidRPr="00914819">
        <w:rPr>
          <w:rFonts w:ascii="Calibri" w:eastAsia="Calibri" w:hAnsi="Calibri" w:cs="Calibri"/>
          <w:sz w:val="22"/>
          <w:szCs w:val="22"/>
        </w:rPr>
        <w:t>Les éditeurs de Ville et de Laboratoires ont plutôt pas mal avancé pour que leurs solutions se mettent en conformité avec les exigence</w:t>
      </w:r>
      <w:r w:rsidR="00A447EE">
        <w:rPr>
          <w:rFonts w:ascii="Calibri" w:eastAsia="Calibri" w:hAnsi="Calibri" w:cs="Calibri"/>
          <w:sz w:val="22"/>
          <w:szCs w:val="22"/>
        </w:rPr>
        <w:t>s</w:t>
      </w:r>
      <w:r w:rsidR="00A447EE" w:rsidRPr="00914819">
        <w:rPr>
          <w:rFonts w:ascii="Calibri" w:eastAsia="Calibri" w:hAnsi="Calibri" w:cs="Calibri"/>
          <w:sz w:val="22"/>
          <w:szCs w:val="22"/>
        </w:rPr>
        <w:t xml:space="preserve"> du décret de Biologie (MSS+HL7-CDA+IHE-XDM+jeu de valeurs LOINC). </w:t>
      </w:r>
      <w:r w:rsidR="00A447EE" w:rsidRPr="00914819">
        <w:rPr>
          <w:rFonts w:ascii="Calibri" w:eastAsia="Calibri" w:hAnsi="Calibri" w:cs="Calibri"/>
          <w:sz w:val="22"/>
          <w:szCs w:val="22"/>
        </w:rPr>
        <w:br/>
        <w:t>Lors du dernier point d’échange que la SFIL et la FEIMA ont eu avec l’ASIP (24/09), nous avons relevé des difficultés persistantes dans les phases de déploiement des solutions au sein des labos (paramétrage des solutions notamment) ainsi que dans la qualification effective des échanges entre labos et médecins.</w:t>
      </w:r>
      <w:r w:rsidR="00A447EE" w:rsidRPr="00914819">
        <w:rPr>
          <w:rFonts w:ascii="Calibri" w:eastAsia="Calibri" w:hAnsi="Calibri" w:cs="Calibri"/>
          <w:sz w:val="22"/>
          <w:szCs w:val="22"/>
        </w:rPr>
        <w:br/>
        <w:t xml:space="preserve">Pour remédier à ce dernier point, nous avons pris le parti de nous appuyer sur deux zones de tests et de validation des échanges, notre objectif étant qu’elles aient valeur de validation et d’exemplarité nationale. Il s’agit de la région PACA et la </w:t>
      </w:r>
      <w:r w:rsidR="001850AF">
        <w:rPr>
          <w:rFonts w:ascii="Calibri" w:eastAsia="Calibri" w:hAnsi="Calibri" w:cs="Calibri"/>
          <w:sz w:val="22"/>
          <w:szCs w:val="22"/>
        </w:rPr>
        <w:t xml:space="preserve">de </w:t>
      </w:r>
      <w:r w:rsidR="00A447EE" w:rsidRPr="00914819">
        <w:rPr>
          <w:rFonts w:ascii="Calibri" w:eastAsia="Calibri" w:hAnsi="Calibri" w:cs="Calibri"/>
          <w:sz w:val="22"/>
          <w:szCs w:val="22"/>
        </w:rPr>
        <w:t>région de Limoges avec lesquelles nous sommes engagés dans des démarches concrètes sur le point d’être finalisées.</w:t>
      </w:r>
      <w:r w:rsidR="00A447EE" w:rsidRPr="00914819">
        <w:rPr>
          <w:rFonts w:ascii="Calibri" w:eastAsia="Calibri" w:hAnsi="Calibri" w:cs="Calibri"/>
          <w:sz w:val="22"/>
          <w:szCs w:val="22"/>
        </w:rPr>
        <w:br/>
        <w:t>A termes, et pour éviter toute dispersion des énergies sur les activités de tests et de validation, deux solutions me paraissent devoir être envisagé</w:t>
      </w:r>
      <w:r w:rsidR="001850AF">
        <w:rPr>
          <w:rFonts w:ascii="Calibri" w:eastAsia="Calibri" w:hAnsi="Calibri" w:cs="Calibri"/>
          <w:sz w:val="22"/>
          <w:szCs w:val="22"/>
        </w:rPr>
        <w:t>e</w:t>
      </w:r>
      <w:r w:rsidR="00A447EE" w:rsidRPr="00914819">
        <w:rPr>
          <w:rFonts w:ascii="Calibri" w:eastAsia="Calibri" w:hAnsi="Calibri" w:cs="Calibri"/>
          <w:sz w:val="22"/>
          <w:szCs w:val="22"/>
        </w:rPr>
        <w:t>s. L’une consistant à faire porter par l’ASIP Santé une plateforme nationale de test/validation, l’autre consistant à prendre appui sur un territoire officiellement désigné pour mener à bien ces activités.</w:t>
      </w:r>
      <w:r w:rsidR="00A447EE" w:rsidRPr="00914819">
        <w:rPr>
          <w:rFonts w:ascii="Calibri" w:eastAsia="Calibri" w:hAnsi="Calibri" w:cs="Calibri"/>
          <w:sz w:val="22"/>
          <w:szCs w:val="22"/>
        </w:rPr>
        <w:br/>
        <w:t>Les deux approches pourraient d’ailleurs s’envisager de manière complémentaire afin que les validations soient à même de prendre en compte la totalité de la chaîne, jusqu’aux usages finaux effectifs qui ne peuvent s’apprécier que sur la base de réalités opérationnelles.</w:t>
      </w:r>
      <w:r w:rsidR="00A447EE" w:rsidRPr="00914819">
        <w:rPr>
          <w:rFonts w:ascii="Calibri" w:eastAsia="Calibri" w:hAnsi="Calibri" w:cs="Calibri"/>
          <w:sz w:val="22"/>
          <w:szCs w:val="22"/>
        </w:rPr>
        <w:br/>
      </w:r>
      <w:r w:rsidR="00A447EE" w:rsidRPr="00914819">
        <w:rPr>
          <w:rFonts w:ascii="Calibri" w:eastAsia="Calibri" w:hAnsi="Calibri" w:cs="Calibri"/>
          <w:sz w:val="22"/>
          <w:szCs w:val="22"/>
        </w:rPr>
        <w:br/>
        <w:t xml:space="preserve">Les opérations que nous menons dans ce cadre ont mis une fois de plus en lumière les problèmes auxquels nous sommes confrontés vis-à-vis de la solution Apicrypt, lesquels constituent un frein majeur au développement des usages. Plusieurs éditeurs de la FEIMA qui garantissaient jusqu’alors une intégration de la solution Apicrypt s’interrogent sur l’éventualité du maintien de cette solution dans leur catalogue de services intégrés. Interrogations d’autant plus fondées que les tergiversations de l’APICEM à rejoindre l’espace de confiance MSSanté durent depuis plusieurs années et qu’elles arrivent fin 2019 aux termes des </w:t>
      </w:r>
      <w:r w:rsidR="001850AF">
        <w:rPr>
          <w:rFonts w:ascii="Calibri" w:eastAsia="Calibri" w:hAnsi="Calibri" w:cs="Calibri"/>
          <w:sz w:val="22"/>
          <w:szCs w:val="22"/>
        </w:rPr>
        <w:t>« </w:t>
      </w:r>
      <w:r w:rsidR="00A447EE" w:rsidRPr="00914819">
        <w:rPr>
          <w:rFonts w:ascii="Calibri" w:eastAsia="Calibri" w:hAnsi="Calibri" w:cs="Calibri"/>
          <w:sz w:val="22"/>
          <w:szCs w:val="22"/>
        </w:rPr>
        <w:t>largesses</w:t>
      </w:r>
      <w:r w:rsidR="001850AF">
        <w:rPr>
          <w:rFonts w:ascii="Calibri" w:eastAsia="Calibri" w:hAnsi="Calibri" w:cs="Calibri"/>
          <w:sz w:val="22"/>
          <w:szCs w:val="22"/>
        </w:rPr>
        <w:t> »</w:t>
      </w:r>
      <w:r w:rsidR="00A447EE" w:rsidRPr="00914819">
        <w:rPr>
          <w:rFonts w:ascii="Calibri" w:eastAsia="Calibri" w:hAnsi="Calibri" w:cs="Calibri"/>
          <w:sz w:val="22"/>
          <w:szCs w:val="22"/>
        </w:rPr>
        <w:t xml:space="preserve"> accordées par l’Assurance Maladie vis-à-vis des critères de rémunération des indicateurs du forfait structure.</w:t>
      </w:r>
      <w:r w:rsidR="00A447EE" w:rsidRPr="00914819">
        <w:rPr>
          <w:rFonts w:ascii="Calibri" w:eastAsia="Calibri" w:hAnsi="Calibri" w:cs="Calibri"/>
          <w:sz w:val="22"/>
          <w:szCs w:val="22"/>
        </w:rPr>
        <w:br/>
      </w:r>
      <w:r w:rsidR="00A447EE" w:rsidRPr="00914819">
        <w:rPr>
          <w:rFonts w:ascii="Calibri" w:eastAsia="Calibri" w:hAnsi="Calibri" w:cs="Calibri"/>
          <w:sz w:val="22"/>
          <w:szCs w:val="22"/>
        </w:rPr>
        <w:br/>
        <w:t xml:space="preserve">Elles ont également mis en évidence les problèmes qui nous avions pointés depuis fort longtemps à l’égard des messageries développées et portées par </w:t>
      </w:r>
      <w:r w:rsidR="00A447EE">
        <w:rPr>
          <w:rFonts w:ascii="Calibri" w:eastAsia="Calibri" w:hAnsi="Calibri" w:cs="Calibri"/>
          <w:sz w:val="22"/>
          <w:szCs w:val="22"/>
        </w:rPr>
        <w:t xml:space="preserve">les </w:t>
      </w:r>
      <w:r w:rsidR="00A447EE" w:rsidRPr="00914819">
        <w:rPr>
          <w:rFonts w:ascii="Calibri" w:eastAsia="Calibri" w:hAnsi="Calibri" w:cs="Calibri"/>
          <w:sz w:val="22"/>
          <w:szCs w:val="22"/>
        </w:rPr>
        <w:t>GRADEs en région. Nombreuses sont celles qui ne sont pas rigoureusement conformes aux spécifications publiées par l’ASIP Santé sur le champ de</w:t>
      </w:r>
      <w:r w:rsidR="00A447EE">
        <w:rPr>
          <w:rFonts w:ascii="Calibri" w:eastAsia="Calibri" w:hAnsi="Calibri" w:cs="Calibri"/>
          <w:sz w:val="22"/>
          <w:szCs w:val="22"/>
        </w:rPr>
        <w:t>s</w:t>
      </w:r>
      <w:r w:rsidR="00A447EE" w:rsidRPr="00914819">
        <w:rPr>
          <w:rFonts w:ascii="Calibri" w:eastAsia="Calibri" w:hAnsi="Calibri" w:cs="Calibri"/>
          <w:sz w:val="22"/>
          <w:szCs w:val="22"/>
        </w:rPr>
        <w:t xml:space="preserve"> clients de messagerie et ne permettent donc pas d’offrir un service de qualité suffisante dans la perspective de leur intégration avec les LPS.</w:t>
      </w:r>
      <w:r w:rsidR="00A447EE" w:rsidRPr="00914819">
        <w:rPr>
          <w:rFonts w:ascii="Calibri" w:eastAsia="Calibri" w:hAnsi="Calibri" w:cs="Calibri"/>
          <w:sz w:val="22"/>
          <w:szCs w:val="22"/>
        </w:rPr>
        <w:br/>
        <w:t>Les éditeurs ne sont pas là pour cautionner la légitimité des investissements publics qui ont été mobilisés par plusieurs régions sur ce sujet, d’autant plus que les offres régionales qui en résultent se heurtent aux offres MSS portées par la sphère industrielle dans un contexte de concurrence totalement déloyal.</w:t>
      </w:r>
      <w:r w:rsidR="00A447EE" w:rsidRPr="00914819">
        <w:rPr>
          <w:rFonts w:ascii="Calibri" w:eastAsia="Calibri" w:hAnsi="Calibri" w:cs="Calibri"/>
          <w:sz w:val="22"/>
          <w:szCs w:val="22"/>
        </w:rPr>
        <w:br/>
        <w:t>La FEIMA est toutefois prête à rentrer dans une logique d’intégration de ses offres régionales</w:t>
      </w:r>
      <w:r w:rsidR="001850AF">
        <w:rPr>
          <w:rFonts w:ascii="Calibri" w:eastAsia="Calibri" w:hAnsi="Calibri" w:cs="Calibri"/>
          <w:sz w:val="22"/>
          <w:szCs w:val="22"/>
        </w:rPr>
        <w:t>,</w:t>
      </w:r>
      <w:r w:rsidR="00A447EE" w:rsidRPr="00914819">
        <w:rPr>
          <w:rFonts w:ascii="Calibri" w:eastAsia="Calibri" w:hAnsi="Calibri" w:cs="Calibri"/>
          <w:sz w:val="22"/>
          <w:szCs w:val="22"/>
        </w:rPr>
        <w:t xml:space="preserve"> aux deux conditions suivantes. 1) </w:t>
      </w:r>
      <w:r w:rsidR="001850AF">
        <w:rPr>
          <w:rFonts w:ascii="Calibri" w:eastAsia="Calibri" w:hAnsi="Calibri" w:cs="Calibri"/>
          <w:sz w:val="22"/>
          <w:szCs w:val="22"/>
        </w:rPr>
        <w:t>l</w:t>
      </w:r>
      <w:r w:rsidR="00A447EE" w:rsidRPr="00914819">
        <w:rPr>
          <w:rFonts w:ascii="Calibri" w:eastAsia="Calibri" w:hAnsi="Calibri" w:cs="Calibri"/>
          <w:sz w:val="22"/>
          <w:szCs w:val="22"/>
        </w:rPr>
        <w:t>eur mise en conformité dûment attestée vis-à-vis des spécification</w:t>
      </w:r>
      <w:r w:rsidR="00A447EE">
        <w:rPr>
          <w:rFonts w:ascii="Calibri" w:eastAsia="Calibri" w:hAnsi="Calibri" w:cs="Calibri"/>
          <w:sz w:val="22"/>
          <w:szCs w:val="22"/>
        </w:rPr>
        <w:t>s</w:t>
      </w:r>
      <w:r w:rsidR="00A447EE" w:rsidRPr="00914819">
        <w:rPr>
          <w:rFonts w:ascii="Calibri" w:eastAsia="Calibri" w:hAnsi="Calibri" w:cs="Calibri"/>
          <w:sz w:val="22"/>
          <w:szCs w:val="22"/>
        </w:rPr>
        <w:t xml:space="preserve"> « clients de messagerie » 2) </w:t>
      </w:r>
      <w:r w:rsidR="001850AF">
        <w:rPr>
          <w:rFonts w:ascii="Calibri" w:eastAsia="Calibri" w:hAnsi="Calibri" w:cs="Calibri"/>
          <w:sz w:val="22"/>
          <w:szCs w:val="22"/>
        </w:rPr>
        <w:t>u</w:t>
      </w:r>
      <w:r w:rsidR="00A447EE" w:rsidRPr="00914819">
        <w:rPr>
          <w:rFonts w:ascii="Calibri" w:eastAsia="Calibri" w:hAnsi="Calibri" w:cs="Calibri"/>
          <w:sz w:val="22"/>
          <w:szCs w:val="22"/>
        </w:rPr>
        <w:t>n arrêt immédiat des démarches de promotion des GRADEs à l’égard de leurs outils, au bénéfice d’une liberté de choix des professionnels de santé.</w:t>
      </w:r>
    </w:p>
    <w:p w14:paraId="1D1B4723" w14:textId="55208598" w:rsidR="00A447EE" w:rsidRDefault="00A447EE" w:rsidP="00744E85">
      <w:pPr>
        <w:numPr>
          <w:ilvl w:val="0"/>
          <w:numId w:val="10"/>
        </w:numPr>
        <w:spacing w:after="240"/>
        <w:rPr>
          <w:rFonts w:ascii="Calibri" w:eastAsia="Calibri" w:hAnsi="Calibri" w:cs="Calibri"/>
          <w:sz w:val="22"/>
          <w:szCs w:val="22"/>
        </w:rPr>
      </w:pPr>
      <w:r w:rsidRPr="00914819">
        <w:rPr>
          <w:rFonts w:ascii="Calibri" w:eastAsia="Calibri" w:hAnsi="Calibri" w:cs="Calibri"/>
          <w:sz w:val="22"/>
          <w:szCs w:val="22"/>
          <w:u w:val="single"/>
        </w:rPr>
        <w:t>Carnet de Vaccination</w:t>
      </w:r>
      <w:r w:rsidRPr="00914819">
        <w:rPr>
          <w:rFonts w:ascii="Calibri" w:eastAsia="Calibri" w:hAnsi="Calibri" w:cs="Calibri"/>
          <w:sz w:val="22"/>
          <w:szCs w:val="22"/>
        </w:rPr>
        <w:br/>
      </w:r>
      <w:r w:rsidR="004B0E17">
        <w:rPr>
          <w:rFonts w:ascii="Calibri" w:eastAsia="Calibri" w:hAnsi="Calibri" w:cs="Calibri"/>
          <w:sz w:val="22"/>
          <w:szCs w:val="22"/>
        </w:rPr>
        <w:br/>
      </w:r>
      <w:r w:rsidRPr="00914819">
        <w:rPr>
          <w:rFonts w:ascii="Calibri" w:eastAsia="Calibri" w:hAnsi="Calibri" w:cs="Calibri"/>
          <w:sz w:val="22"/>
          <w:szCs w:val="22"/>
        </w:rPr>
        <w:t xml:space="preserve">Suite aux premiers échanges qui ont eu lieu entre la CNAM et la FEIMA pour définir les orientations destinées à gérer le dossier vaccinal des patients dans le DMP, en interaction avec les logiciels métier qui </w:t>
      </w:r>
      <w:r w:rsidR="00DE09EA">
        <w:rPr>
          <w:rFonts w:ascii="Calibri" w:eastAsia="Calibri" w:hAnsi="Calibri" w:cs="Calibri"/>
          <w:sz w:val="22"/>
          <w:szCs w:val="22"/>
        </w:rPr>
        <w:t>proposent des fonctions pour en</w:t>
      </w:r>
      <w:r w:rsidRPr="00914819">
        <w:rPr>
          <w:rFonts w:ascii="Calibri" w:eastAsia="Calibri" w:hAnsi="Calibri" w:cs="Calibri"/>
          <w:sz w:val="22"/>
          <w:szCs w:val="22"/>
        </w:rPr>
        <w:t xml:space="preserve"> </w:t>
      </w:r>
      <w:r w:rsidR="00DE09EA">
        <w:rPr>
          <w:rFonts w:ascii="Calibri" w:eastAsia="Calibri" w:hAnsi="Calibri" w:cs="Calibri"/>
          <w:sz w:val="22"/>
          <w:szCs w:val="22"/>
        </w:rPr>
        <w:t>assurer</w:t>
      </w:r>
      <w:r w:rsidRPr="00914819">
        <w:rPr>
          <w:rFonts w:ascii="Calibri" w:eastAsia="Calibri" w:hAnsi="Calibri" w:cs="Calibri"/>
          <w:sz w:val="22"/>
          <w:szCs w:val="22"/>
        </w:rPr>
        <w:t xml:space="preserve"> la gestion quotidienne, les travaux de </w:t>
      </w:r>
      <w:r w:rsidRPr="00914819">
        <w:rPr>
          <w:rFonts w:ascii="Calibri" w:eastAsia="Calibri" w:hAnsi="Calibri" w:cs="Calibri"/>
          <w:sz w:val="22"/>
          <w:szCs w:val="22"/>
        </w:rPr>
        <w:lastRenderedPageBreak/>
        <w:t>spécification vont démarrer dans le courant du dernier trimestre 2019.</w:t>
      </w:r>
      <w:r w:rsidRPr="00914819">
        <w:rPr>
          <w:rFonts w:ascii="Calibri" w:eastAsia="Calibri" w:hAnsi="Calibri" w:cs="Calibri"/>
          <w:sz w:val="22"/>
          <w:szCs w:val="22"/>
        </w:rPr>
        <w:br/>
        <w:t>Le Volet Carnet de Vaccination du CI-SIS est le vecteur des développements qui seront assurés par la CNAM sur le périmètre du DMP et par les éditeurs sur le périmètre des LPS.</w:t>
      </w:r>
    </w:p>
    <w:p w14:paraId="1A9BFCDC" w14:textId="77777777" w:rsidR="00DE09EA" w:rsidRPr="00914819" w:rsidRDefault="00DE09EA" w:rsidP="00DE09EA">
      <w:pPr>
        <w:spacing w:after="240"/>
        <w:ind w:left="360"/>
        <w:rPr>
          <w:rFonts w:ascii="Calibri" w:eastAsia="Calibri" w:hAnsi="Calibri" w:cs="Calibri"/>
          <w:sz w:val="22"/>
          <w:szCs w:val="22"/>
        </w:rPr>
      </w:pPr>
    </w:p>
    <w:p w14:paraId="3B91F748" w14:textId="769738D4" w:rsidR="00C94983" w:rsidRPr="00C94983" w:rsidRDefault="00A447EE" w:rsidP="007A0996">
      <w:pPr>
        <w:numPr>
          <w:ilvl w:val="0"/>
          <w:numId w:val="10"/>
        </w:numPr>
        <w:spacing w:after="240"/>
        <w:rPr>
          <w:rFonts w:ascii="Calibri" w:eastAsia="Calibri" w:hAnsi="Calibri" w:cs="Calibri"/>
          <w:sz w:val="22"/>
          <w:szCs w:val="22"/>
        </w:rPr>
      </w:pPr>
      <w:r w:rsidRPr="00C94983">
        <w:rPr>
          <w:rFonts w:ascii="Calibri" w:eastAsia="Calibri" w:hAnsi="Calibri" w:cs="Calibri"/>
          <w:sz w:val="22"/>
          <w:szCs w:val="22"/>
          <w:u w:val="single"/>
        </w:rPr>
        <w:t>Volet de Gestion d’Agenda Partagé</w:t>
      </w:r>
      <w:r w:rsidRPr="00C94983">
        <w:rPr>
          <w:rFonts w:ascii="Calibri" w:eastAsia="Calibri" w:hAnsi="Calibri" w:cs="Calibri"/>
          <w:sz w:val="22"/>
          <w:szCs w:val="22"/>
        </w:rPr>
        <w:br/>
      </w:r>
      <w:r w:rsidR="00C94983">
        <w:rPr>
          <w:rFonts w:ascii="Calibri" w:eastAsia="Calibri" w:hAnsi="Calibri" w:cs="Calibri"/>
          <w:sz w:val="22"/>
          <w:szCs w:val="22"/>
        </w:rPr>
        <w:br/>
      </w:r>
      <w:r w:rsidRPr="00C94983">
        <w:rPr>
          <w:rFonts w:ascii="Calibri" w:eastAsia="Calibri" w:hAnsi="Calibri" w:cs="Calibri"/>
          <w:sz w:val="22"/>
          <w:szCs w:val="22"/>
        </w:rPr>
        <w:t xml:space="preserve">La normalisation des échanges d’évènements </w:t>
      </w:r>
      <w:r w:rsidR="00104FBC" w:rsidRPr="00C94983">
        <w:rPr>
          <w:rFonts w:ascii="Calibri" w:eastAsia="Calibri" w:hAnsi="Calibri" w:cs="Calibri"/>
          <w:sz w:val="22"/>
          <w:szCs w:val="22"/>
        </w:rPr>
        <w:t xml:space="preserve">(rendez-vous, étapes de prise en charge au sein de parcours coordonnés, actes de télésoin, régulation territoriale) </w:t>
      </w:r>
      <w:r w:rsidRPr="00C94983">
        <w:rPr>
          <w:rFonts w:ascii="Calibri" w:eastAsia="Calibri" w:hAnsi="Calibri" w:cs="Calibri"/>
          <w:sz w:val="22"/>
          <w:szCs w:val="22"/>
        </w:rPr>
        <w:t xml:space="preserve">est appelée à prendre une importance croissante dans le cadre du développement du partage d’informations </w:t>
      </w:r>
      <w:r w:rsidR="00094A7F" w:rsidRPr="00C94983">
        <w:rPr>
          <w:rFonts w:ascii="Calibri" w:eastAsia="Calibri" w:hAnsi="Calibri" w:cs="Calibri"/>
          <w:sz w:val="22"/>
          <w:szCs w:val="22"/>
        </w:rPr>
        <w:t>au bénéfice de</w:t>
      </w:r>
      <w:r w:rsidRPr="00C94983">
        <w:rPr>
          <w:rFonts w:ascii="Calibri" w:eastAsia="Calibri" w:hAnsi="Calibri" w:cs="Calibri"/>
          <w:sz w:val="22"/>
          <w:szCs w:val="22"/>
        </w:rPr>
        <w:t xml:space="preserve"> </w:t>
      </w:r>
      <w:r w:rsidR="00094A7F" w:rsidRPr="00C94983">
        <w:rPr>
          <w:rFonts w:ascii="Calibri" w:eastAsia="Calibri" w:hAnsi="Calibri" w:cs="Calibri"/>
          <w:sz w:val="22"/>
          <w:szCs w:val="22"/>
        </w:rPr>
        <w:t>la mobilisation et de la coordination</w:t>
      </w:r>
      <w:r w:rsidRPr="00C94983">
        <w:rPr>
          <w:rFonts w:ascii="Calibri" w:eastAsia="Calibri" w:hAnsi="Calibri" w:cs="Calibri"/>
          <w:sz w:val="22"/>
          <w:szCs w:val="22"/>
        </w:rPr>
        <w:t xml:space="preserve"> </w:t>
      </w:r>
      <w:r w:rsidR="003628C1" w:rsidRPr="00C94983">
        <w:rPr>
          <w:rFonts w:ascii="Calibri" w:eastAsia="Calibri" w:hAnsi="Calibri" w:cs="Calibri"/>
          <w:sz w:val="22"/>
          <w:szCs w:val="22"/>
        </w:rPr>
        <w:t>des professionnels de santé</w:t>
      </w:r>
      <w:r w:rsidRPr="00C94983">
        <w:rPr>
          <w:rFonts w:ascii="Calibri" w:eastAsia="Calibri" w:hAnsi="Calibri" w:cs="Calibri"/>
          <w:sz w:val="22"/>
          <w:szCs w:val="22"/>
        </w:rPr>
        <w:t xml:space="preserve">. </w:t>
      </w:r>
      <w:r w:rsidR="00094A7F" w:rsidRPr="00C94983">
        <w:rPr>
          <w:rFonts w:ascii="Calibri" w:eastAsia="Calibri" w:hAnsi="Calibri" w:cs="Calibri"/>
          <w:sz w:val="22"/>
          <w:szCs w:val="22"/>
        </w:rPr>
        <w:t xml:space="preserve">Nous y sommes déjà confrontés vis-à-vis des plateformes de coordination territoriales qui nous sollicitent à l’égard de la </w:t>
      </w:r>
      <w:r w:rsidR="00B84861" w:rsidRPr="00C94983">
        <w:rPr>
          <w:rFonts w:ascii="Calibri" w:eastAsia="Calibri" w:hAnsi="Calibri" w:cs="Calibri"/>
          <w:sz w:val="22"/>
          <w:szCs w:val="22"/>
        </w:rPr>
        <w:t>gestion</w:t>
      </w:r>
      <w:r w:rsidR="00094A7F" w:rsidRPr="00C94983">
        <w:rPr>
          <w:rFonts w:ascii="Calibri" w:eastAsia="Calibri" w:hAnsi="Calibri" w:cs="Calibri"/>
          <w:sz w:val="22"/>
          <w:szCs w:val="22"/>
        </w:rPr>
        <w:t xml:space="preserve"> des évènements de prise en charge des parcours de coordination.</w:t>
      </w:r>
      <w:r w:rsidR="00B84861" w:rsidRPr="00C94983">
        <w:rPr>
          <w:rFonts w:ascii="Calibri" w:eastAsia="Calibri" w:hAnsi="Calibri" w:cs="Calibri"/>
          <w:sz w:val="22"/>
          <w:szCs w:val="22"/>
        </w:rPr>
        <w:t xml:space="preserve"> N</w:t>
      </w:r>
      <w:r w:rsidRPr="00C94983">
        <w:rPr>
          <w:rFonts w:ascii="Calibri" w:eastAsia="Calibri" w:hAnsi="Calibri" w:cs="Calibri"/>
          <w:sz w:val="22"/>
          <w:szCs w:val="22"/>
        </w:rPr>
        <w:t xml:space="preserve">ous faisons face aux premières sollicitations </w:t>
      </w:r>
      <w:r w:rsidR="00F52652" w:rsidRPr="00C94983">
        <w:rPr>
          <w:rFonts w:ascii="Calibri" w:eastAsia="Calibri" w:hAnsi="Calibri" w:cs="Calibri"/>
          <w:sz w:val="22"/>
          <w:szCs w:val="22"/>
        </w:rPr>
        <w:t xml:space="preserve">qui s’expriment </w:t>
      </w:r>
      <w:r w:rsidRPr="00C94983">
        <w:rPr>
          <w:rFonts w:ascii="Calibri" w:eastAsia="Calibri" w:hAnsi="Calibri" w:cs="Calibri"/>
          <w:sz w:val="22"/>
          <w:szCs w:val="22"/>
        </w:rPr>
        <w:t xml:space="preserve">dans le cadre des </w:t>
      </w:r>
      <w:r w:rsidR="00094A7F" w:rsidRPr="00C94983">
        <w:rPr>
          <w:rFonts w:ascii="Calibri" w:eastAsia="Calibri" w:hAnsi="Calibri" w:cs="Calibri"/>
          <w:sz w:val="22"/>
          <w:szCs w:val="22"/>
        </w:rPr>
        <w:t>pratiques</w:t>
      </w:r>
      <w:r w:rsidRPr="00C94983">
        <w:rPr>
          <w:rFonts w:ascii="Calibri" w:eastAsia="Calibri" w:hAnsi="Calibri" w:cs="Calibri"/>
          <w:sz w:val="22"/>
          <w:szCs w:val="22"/>
        </w:rPr>
        <w:t xml:space="preserve"> de Télésoin. Nous le serons assurément dans le cadre de la mise en place </w:t>
      </w:r>
      <w:r w:rsidR="003628C1" w:rsidRPr="00C94983">
        <w:rPr>
          <w:rFonts w:ascii="Calibri" w:eastAsia="Calibri" w:hAnsi="Calibri" w:cs="Calibri"/>
          <w:sz w:val="22"/>
          <w:szCs w:val="22"/>
        </w:rPr>
        <w:t>du service public d’accès aux soins (SAS) et de</w:t>
      </w:r>
      <w:r w:rsidRPr="00C94983">
        <w:rPr>
          <w:rFonts w:ascii="Calibri" w:eastAsia="Calibri" w:hAnsi="Calibri" w:cs="Calibri"/>
          <w:sz w:val="22"/>
          <w:szCs w:val="22"/>
        </w:rPr>
        <w:t xml:space="preserve"> l’</w:t>
      </w:r>
      <w:r w:rsidR="003628C1" w:rsidRPr="00C94983">
        <w:rPr>
          <w:rFonts w:ascii="Calibri" w:eastAsia="Calibri" w:hAnsi="Calibri" w:cs="Calibri"/>
          <w:sz w:val="22"/>
          <w:szCs w:val="22"/>
        </w:rPr>
        <w:t xml:space="preserve">espace numérique de santé (ENS) </w:t>
      </w:r>
      <w:r w:rsidRPr="00C94983">
        <w:rPr>
          <w:rFonts w:ascii="Calibri" w:eastAsia="Calibri" w:hAnsi="Calibri" w:cs="Calibri"/>
          <w:sz w:val="22"/>
          <w:szCs w:val="22"/>
        </w:rPr>
        <w:t xml:space="preserve">dans </w:t>
      </w:r>
      <w:r w:rsidR="003628C1" w:rsidRPr="00C94983">
        <w:rPr>
          <w:rFonts w:ascii="Calibri" w:eastAsia="Calibri" w:hAnsi="Calibri" w:cs="Calibri"/>
          <w:sz w:val="22"/>
          <w:szCs w:val="22"/>
        </w:rPr>
        <w:t xml:space="preserve">le double </w:t>
      </w:r>
      <w:r w:rsidRPr="00C94983">
        <w:rPr>
          <w:rFonts w:ascii="Calibri" w:eastAsia="Calibri" w:hAnsi="Calibri" w:cs="Calibri"/>
          <w:sz w:val="22"/>
          <w:szCs w:val="22"/>
        </w:rPr>
        <w:t xml:space="preserve">objectif </w:t>
      </w:r>
      <w:r w:rsidR="003628C1" w:rsidRPr="00C94983">
        <w:rPr>
          <w:rFonts w:ascii="Calibri" w:eastAsia="Calibri" w:hAnsi="Calibri" w:cs="Calibri"/>
          <w:sz w:val="22"/>
          <w:szCs w:val="22"/>
        </w:rPr>
        <w:t xml:space="preserve">d’exposition des plages de disponibilité des professionnels que nous équipons </w:t>
      </w:r>
      <w:r w:rsidR="00CD3361" w:rsidRPr="00C94983">
        <w:rPr>
          <w:rFonts w:ascii="Calibri" w:eastAsia="Calibri" w:hAnsi="Calibri" w:cs="Calibri"/>
          <w:sz w:val="22"/>
          <w:szCs w:val="22"/>
        </w:rPr>
        <w:t xml:space="preserve">aux fins d’adressage d’un patient vers un professionnel </w:t>
      </w:r>
      <w:r w:rsidR="003628C1" w:rsidRPr="00C94983">
        <w:rPr>
          <w:rFonts w:ascii="Calibri" w:eastAsia="Calibri" w:hAnsi="Calibri" w:cs="Calibri"/>
          <w:sz w:val="22"/>
          <w:szCs w:val="22"/>
        </w:rPr>
        <w:t xml:space="preserve">et </w:t>
      </w:r>
      <w:r w:rsidRPr="00C94983">
        <w:rPr>
          <w:rFonts w:ascii="Calibri" w:eastAsia="Calibri" w:hAnsi="Calibri" w:cs="Calibri"/>
          <w:sz w:val="22"/>
          <w:szCs w:val="22"/>
        </w:rPr>
        <w:t>de constitution d’un agenda patient alimenté par différentes sources d’informations</w:t>
      </w:r>
      <w:r w:rsidR="00CD3361" w:rsidRPr="00C94983">
        <w:rPr>
          <w:rFonts w:ascii="Calibri" w:eastAsia="Calibri" w:hAnsi="Calibri" w:cs="Calibri"/>
          <w:sz w:val="22"/>
          <w:szCs w:val="22"/>
        </w:rPr>
        <w:t xml:space="preserve"> aux fins de restitution d’une vision globale de son parcours au patient</w:t>
      </w:r>
      <w:r w:rsidR="003628C1" w:rsidRPr="00C94983">
        <w:rPr>
          <w:rFonts w:ascii="Calibri" w:eastAsia="Calibri" w:hAnsi="Calibri" w:cs="Calibri"/>
          <w:sz w:val="22"/>
          <w:szCs w:val="22"/>
        </w:rPr>
        <w:t>.</w:t>
      </w:r>
    </w:p>
    <w:p w14:paraId="3A84CB47" w14:textId="17FA4F9F" w:rsidR="00A447EE" w:rsidRDefault="00C94983" w:rsidP="00C94983">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28224" behindDoc="0" locked="0" layoutInCell="1" allowOverlap="1" wp14:anchorId="10FD0115" wp14:editId="75E7E2DE">
            <wp:simplePos x="0" y="0"/>
            <wp:positionH relativeFrom="column">
              <wp:posOffset>21590</wp:posOffset>
            </wp:positionH>
            <wp:positionV relativeFrom="paragraph">
              <wp:posOffset>1973668</wp:posOffset>
            </wp:positionV>
            <wp:extent cx="348615" cy="348615"/>
            <wp:effectExtent l="0" t="12700" r="32385" b="45085"/>
            <wp:wrapNone/>
            <wp:docPr id="21" name="Graphique 21"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zIolAQ.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8615" cy="348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94983">
        <w:rPr>
          <w:rFonts w:ascii="Calibri" w:hAnsi="Calibri" w:cs="Calibri"/>
          <w:sz w:val="22"/>
          <w:szCs w:val="22"/>
        </w:rPr>
        <w:t xml:space="preserve">Les investissements que nous avons réalisés dans le domaine des services aux patients, dans le respect des règles de droit commun et dans l’esprit de renforcement du lien entre professionnels de santé et patients qui caractérisent nos offres, ont vocation à s’inscrire dans une dynamique d’articulation avec les services socles de la feuille de route du numérique en santé. Cette position, respectueuse de la diversité et de la libre concurrence des offres qui s’expriment sur le marché, nous a conduit à nous interroger sur la manière de répondre aux impératifs d’échange qu’il convenait de prendre </w:t>
      </w:r>
      <w:r w:rsidR="004A7E5B">
        <w:rPr>
          <w:rFonts w:ascii="Calibri" w:hAnsi="Calibri" w:cs="Calibri"/>
          <w:sz w:val="22"/>
          <w:szCs w:val="22"/>
        </w:rPr>
        <w:t xml:space="preserve">en compte </w:t>
      </w:r>
      <w:r w:rsidRPr="00C94983">
        <w:rPr>
          <w:rFonts w:ascii="Calibri" w:hAnsi="Calibri" w:cs="Calibri"/>
          <w:sz w:val="22"/>
          <w:szCs w:val="22"/>
        </w:rPr>
        <w:t>pour garantir un déploiement harmonieux et convergent des services industriels avec ceux portés par l’état.</w:t>
      </w:r>
      <w:r w:rsidR="00B84861" w:rsidRPr="00ED547D">
        <w:rPr>
          <w:rFonts w:ascii="Calibri" w:eastAsia="Calibri" w:hAnsi="Calibri" w:cs="Calibri"/>
          <w:sz w:val="22"/>
          <w:szCs w:val="22"/>
        </w:rPr>
        <w:br/>
      </w:r>
      <w:r w:rsidR="00B84861" w:rsidRPr="00ED547D">
        <w:rPr>
          <w:rFonts w:ascii="Calibri" w:eastAsia="Calibri" w:hAnsi="Calibri" w:cs="Calibri"/>
          <w:sz w:val="22"/>
          <w:szCs w:val="22"/>
        </w:rPr>
        <w:br/>
      </w:r>
      <w:r w:rsidR="00F52652" w:rsidRPr="00ED547D">
        <w:rPr>
          <w:rFonts w:ascii="Calibri" w:eastAsia="Calibri" w:hAnsi="Calibri" w:cs="Calibri"/>
          <w:sz w:val="22"/>
          <w:szCs w:val="22"/>
        </w:rPr>
        <w:t>La FEIMA</w:t>
      </w:r>
      <w:r w:rsidR="00B05303" w:rsidRPr="00ED547D">
        <w:rPr>
          <w:rFonts w:ascii="Calibri" w:eastAsia="Calibri" w:hAnsi="Calibri" w:cs="Calibri"/>
          <w:sz w:val="22"/>
          <w:szCs w:val="22"/>
        </w:rPr>
        <w:t xml:space="preserve">, qui </w:t>
      </w:r>
      <w:r w:rsidR="00F52652" w:rsidRPr="00ED547D">
        <w:rPr>
          <w:rFonts w:ascii="Calibri" w:eastAsia="Calibri" w:hAnsi="Calibri" w:cs="Calibri"/>
          <w:sz w:val="22"/>
          <w:szCs w:val="22"/>
        </w:rPr>
        <w:t xml:space="preserve">compte un nombre </w:t>
      </w:r>
      <w:r w:rsidR="00B84861" w:rsidRPr="00ED547D">
        <w:rPr>
          <w:rFonts w:ascii="Calibri" w:eastAsia="Calibri" w:hAnsi="Calibri" w:cs="Calibri"/>
          <w:sz w:val="22"/>
          <w:szCs w:val="22"/>
        </w:rPr>
        <w:t xml:space="preserve">croissant d’éditeurs </w:t>
      </w:r>
      <w:r w:rsidR="00F52652" w:rsidRPr="00ED547D">
        <w:rPr>
          <w:rFonts w:ascii="Calibri" w:eastAsia="Calibri" w:hAnsi="Calibri" w:cs="Calibri"/>
          <w:sz w:val="22"/>
          <w:szCs w:val="22"/>
        </w:rPr>
        <w:t xml:space="preserve">proposant des </w:t>
      </w:r>
      <w:r w:rsidR="00A817D0" w:rsidRPr="00ED547D">
        <w:rPr>
          <w:rFonts w:ascii="Calibri" w:eastAsia="Calibri" w:hAnsi="Calibri" w:cs="Calibri"/>
          <w:sz w:val="22"/>
          <w:szCs w:val="22"/>
        </w:rPr>
        <w:t>services</w:t>
      </w:r>
      <w:r w:rsidR="00B84861" w:rsidRPr="00ED547D">
        <w:rPr>
          <w:rFonts w:ascii="Calibri" w:eastAsia="Calibri" w:hAnsi="Calibri" w:cs="Calibri"/>
          <w:sz w:val="22"/>
          <w:szCs w:val="22"/>
        </w:rPr>
        <w:t xml:space="preserve"> de </w:t>
      </w:r>
      <w:r w:rsidR="00F52652" w:rsidRPr="00ED547D">
        <w:rPr>
          <w:rFonts w:ascii="Calibri" w:eastAsia="Calibri" w:hAnsi="Calibri" w:cs="Calibri"/>
          <w:sz w:val="22"/>
          <w:szCs w:val="22"/>
        </w:rPr>
        <w:t xml:space="preserve">prise de </w:t>
      </w:r>
      <w:r w:rsidR="00B84861" w:rsidRPr="00ED547D">
        <w:rPr>
          <w:rFonts w:ascii="Calibri" w:eastAsia="Calibri" w:hAnsi="Calibri" w:cs="Calibri"/>
          <w:sz w:val="22"/>
          <w:szCs w:val="22"/>
        </w:rPr>
        <w:t>rendez-vous et de télémédecine</w:t>
      </w:r>
      <w:r w:rsidR="003A08CC" w:rsidRPr="00ED547D">
        <w:rPr>
          <w:rFonts w:ascii="Calibri" w:eastAsia="Calibri" w:hAnsi="Calibri" w:cs="Calibri"/>
          <w:sz w:val="22"/>
          <w:szCs w:val="22"/>
        </w:rPr>
        <w:t xml:space="preserve"> intégrés aux logiciels métier des professionnels de santé qu’ils équipent</w:t>
      </w:r>
      <w:r w:rsidR="00B84861" w:rsidRPr="00ED547D">
        <w:rPr>
          <w:rFonts w:ascii="Calibri" w:eastAsia="Calibri" w:hAnsi="Calibri" w:cs="Calibri"/>
          <w:sz w:val="22"/>
          <w:szCs w:val="22"/>
        </w:rPr>
        <w:t>,</w:t>
      </w:r>
      <w:r w:rsidR="00B05303" w:rsidRPr="00ED547D">
        <w:rPr>
          <w:rFonts w:ascii="Calibri" w:eastAsia="Calibri" w:hAnsi="Calibri" w:cs="Calibri"/>
          <w:sz w:val="22"/>
          <w:szCs w:val="22"/>
        </w:rPr>
        <w:t xml:space="preserve"> a mis cette question en débat au sein de ses instances. Décision a été prise de mobiliser ses membres sur une ligne commune permettant d’apporter </w:t>
      </w:r>
      <w:r w:rsidR="008A591E" w:rsidRPr="00ED547D">
        <w:rPr>
          <w:rFonts w:ascii="Calibri" w:eastAsia="Calibri" w:hAnsi="Calibri" w:cs="Calibri"/>
          <w:sz w:val="22"/>
          <w:szCs w:val="22"/>
        </w:rPr>
        <w:t xml:space="preserve">une réponse </w:t>
      </w:r>
      <w:r w:rsidR="003A08CC" w:rsidRPr="00ED547D">
        <w:rPr>
          <w:rFonts w:ascii="Calibri" w:eastAsia="Calibri" w:hAnsi="Calibri" w:cs="Calibri"/>
          <w:sz w:val="22"/>
          <w:szCs w:val="22"/>
        </w:rPr>
        <w:t>pertinente a</w:t>
      </w:r>
      <w:r w:rsidR="008A591E" w:rsidRPr="00ED547D">
        <w:rPr>
          <w:rFonts w:ascii="Calibri" w:eastAsia="Calibri" w:hAnsi="Calibri" w:cs="Calibri"/>
          <w:sz w:val="22"/>
          <w:szCs w:val="22"/>
        </w:rPr>
        <w:t>ux problématiques de convergence et d’interopérabilité des services sus mentionnés</w:t>
      </w:r>
      <w:r w:rsidR="00CB35BB">
        <w:rPr>
          <w:rFonts w:ascii="Calibri" w:eastAsia="Calibri" w:hAnsi="Calibri" w:cs="Calibri"/>
          <w:sz w:val="22"/>
          <w:szCs w:val="22"/>
        </w:rPr>
        <w:t xml:space="preserve"> avec les services socles de la plateforme d’état</w:t>
      </w:r>
      <w:r w:rsidR="008A591E" w:rsidRPr="00ED547D">
        <w:rPr>
          <w:rFonts w:ascii="Calibri" w:eastAsia="Calibri" w:hAnsi="Calibri" w:cs="Calibri"/>
          <w:sz w:val="22"/>
          <w:szCs w:val="22"/>
        </w:rPr>
        <w:t xml:space="preserve">, en cohérence avec les objectifs de la doctrine </w:t>
      </w:r>
      <w:r w:rsidR="00CB35BB">
        <w:rPr>
          <w:rFonts w:ascii="Calibri" w:eastAsia="Calibri" w:hAnsi="Calibri" w:cs="Calibri"/>
          <w:sz w:val="22"/>
          <w:szCs w:val="22"/>
        </w:rPr>
        <w:t>du n</w:t>
      </w:r>
      <w:r w:rsidR="008A591E" w:rsidRPr="00ED547D">
        <w:rPr>
          <w:rFonts w:ascii="Calibri" w:eastAsia="Calibri" w:hAnsi="Calibri" w:cs="Calibri"/>
          <w:sz w:val="22"/>
          <w:szCs w:val="22"/>
        </w:rPr>
        <w:t>umérique</w:t>
      </w:r>
      <w:r w:rsidR="00CB35BB">
        <w:rPr>
          <w:rFonts w:ascii="Calibri" w:eastAsia="Calibri" w:hAnsi="Calibri" w:cs="Calibri"/>
          <w:sz w:val="22"/>
          <w:szCs w:val="22"/>
        </w:rPr>
        <w:t xml:space="preserve"> en santé</w:t>
      </w:r>
      <w:r w:rsidR="006A6FD4">
        <w:rPr>
          <w:rFonts w:ascii="Calibri" w:eastAsia="Calibri" w:hAnsi="Calibri" w:cs="Calibri"/>
          <w:sz w:val="22"/>
          <w:szCs w:val="22"/>
        </w:rPr>
        <w:t xml:space="preserve"> et dans le respect d’un juste équilibre entre services régaliens et services industriels.</w:t>
      </w:r>
      <w:r w:rsidR="00A447EE" w:rsidRPr="00ED547D">
        <w:rPr>
          <w:rFonts w:ascii="Calibri" w:eastAsia="Calibri" w:hAnsi="Calibri" w:cs="Calibri"/>
          <w:sz w:val="22"/>
          <w:szCs w:val="22"/>
        </w:rPr>
        <w:br/>
      </w:r>
      <w:r w:rsidR="00A853DF" w:rsidRPr="00ED547D">
        <w:rPr>
          <w:rFonts w:ascii="Calibri" w:eastAsia="Calibri" w:hAnsi="Calibri" w:cs="Calibri"/>
          <w:sz w:val="22"/>
          <w:szCs w:val="22"/>
        </w:rPr>
        <w:br/>
        <w:t xml:space="preserve">Nous souhaitons positionner cette </w:t>
      </w:r>
      <w:r w:rsidR="003A08CC" w:rsidRPr="00ED547D">
        <w:rPr>
          <w:rFonts w:ascii="Calibri" w:eastAsia="Calibri" w:hAnsi="Calibri" w:cs="Calibri"/>
          <w:sz w:val="22"/>
          <w:szCs w:val="22"/>
        </w:rPr>
        <w:t>démarche</w:t>
      </w:r>
      <w:r w:rsidR="00A853DF" w:rsidRPr="00ED547D">
        <w:rPr>
          <w:rFonts w:ascii="Calibri" w:eastAsia="Calibri" w:hAnsi="Calibri" w:cs="Calibri"/>
          <w:sz w:val="22"/>
          <w:szCs w:val="22"/>
        </w:rPr>
        <w:t xml:space="preserve"> dans une logique d’intégration des évènements produits par les différents outils de gestion de rendez-vous avec l’agenda partagé de l’ENS</w:t>
      </w:r>
      <w:r w:rsidR="009B3602">
        <w:rPr>
          <w:rFonts w:ascii="Calibri" w:eastAsia="Calibri" w:hAnsi="Calibri" w:cs="Calibri"/>
          <w:sz w:val="22"/>
          <w:szCs w:val="22"/>
        </w:rPr>
        <w:t xml:space="preserve"> et du SAS</w:t>
      </w:r>
      <w:r w:rsidR="003A08CC" w:rsidRPr="00ED547D">
        <w:rPr>
          <w:rFonts w:ascii="Calibri" w:eastAsia="Calibri" w:hAnsi="Calibri" w:cs="Calibri"/>
          <w:sz w:val="22"/>
          <w:szCs w:val="22"/>
        </w:rPr>
        <w:t xml:space="preserve">, l’objectif étant d’engager des travaux à </w:t>
      </w:r>
      <w:r w:rsidR="006A6FD4">
        <w:rPr>
          <w:rFonts w:ascii="Calibri" w:eastAsia="Calibri" w:hAnsi="Calibri" w:cs="Calibri"/>
          <w:sz w:val="22"/>
          <w:szCs w:val="22"/>
        </w:rPr>
        <w:t xml:space="preserve">très </w:t>
      </w:r>
      <w:r w:rsidR="003A08CC" w:rsidRPr="00ED547D">
        <w:rPr>
          <w:rFonts w:ascii="Calibri" w:eastAsia="Calibri" w:hAnsi="Calibri" w:cs="Calibri"/>
          <w:sz w:val="22"/>
          <w:szCs w:val="22"/>
        </w:rPr>
        <w:t xml:space="preserve">court terme </w:t>
      </w:r>
      <w:r w:rsidR="00ED547D" w:rsidRPr="00ED547D">
        <w:rPr>
          <w:rFonts w:ascii="Calibri" w:eastAsia="Calibri" w:hAnsi="Calibri" w:cs="Calibri"/>
          <w:sz w:val="22"/>
          <w:szCs w:val="22"/>
        </w:rPr>
        <w:t>afin de produire, à l’appui de cas d’usages concrets, les</w:t>
      </w:r>
      <w:r w:rsidR="003A08CC" w:rsidRPr="00ED547D">
        <w:rPr>
          <w:rFonts w:ascii="Calibri" w:eastAsia="Calibri" w:hAnsi="Calibri" w:cs="Calibri"/>
          <w:sz w:val="22"/>
          <w:szCs w:val="22"/>
        </w:rPr>
        <w:t xml:space="preserve"> spécifications techniques des mécanismes à mettre en œuvre et </w:t>
      </w:r>
      <w:r w:rsidR="006A6FD4">
        <w:rPr>
          <w:rFonts w:ascii="Calibri" w:eastAsia="Calibri" w:hAnsi="Calibri" w:cs="Calibri"/>
          <w:sz w:val="22"/>
          <w:szCs w:val="22"/>
        </w:rPr>
        <w:t xml:space="preserve">le </w:t>
      </w:r>
      <w:r w:rsidR="003A08CC" w:rsidRPr="00ED547D">
        <w:rPr>
          <w:rFonts w:ascii="Calibri" w:eastAsia="Calibri" w:hAnsi="Calibri" w:cs="Calibri"/>
          <w:sz w:val="22"/>
          <w:szCs w:val="22"/>
        </w:rPr>
        <w:t>calendrier de réalisation</w:t>
      </w:r>
      <w:r w:rsidR="00A853DF" w:rsidRPr="00ED547D">
        <w:rPr>
          <w:rFonts w:ascii="Calibri" w:eastAsia="Calibri" w:hAnsi="Calibri" w:cs="Calibri"/>
          <w:sz w:val="22"/>
          <w:szCs w:val="22"/>
        </w:rPr>
        <w:t xml:space="preserve">. </w:t>
      </w:r>
      <w:r w:rsidR="00ED547D" w:rsidRPr="00ED547D">
        <w:rPr>
          <w:rFonts w:ascii="Calibri" w:eastAsia="Calibri" w:hAnsi="Calibri" w:cs="Calibri"/>
          <w:sz w:val="22"/>
          <w:szCs w:val="22"/>
        </w:rPr>
        <w:br/>
      </w:r>
      <w:r w:rsidR="00A853DF" w:rsidRPr="00ED547D">
        <w:rPr>
          <w:rFonts w:ascii="Calibri" w:eastAsia="Calibri" w:hAnsi="Calibri" w:cs="Calibri"/>
          <w:sz w:val="22"/>
          <w:szCs w:val="22"/>
        </w:rPr>
        <w:t>Nous souhaitons</w:t>
      </w:r>
      <w:r w:rsidR="00522911" w:rsidRPr="00ED547D">
        <w:rPr>
          <w:rFonts w:ascii="Calibri" w:eastAsia="Calibri" w:hAnsi="Calibri" w:cs="Calibri"/>
          <w:sz w:val="22"/>
          <w:szCs w:val="22"/>
        </w:rPr>
        <w:t xml:space="preserve"> </w:t>
      </w:r>
      <w:r w:rsidR="00042A1B">
        <w:rPr>
          <w:rFonts w:ascii="Calibri" w:eastAsia="Calibri" w:hAnsi="Calibri" w:cs="Calibri"/>
          <w:sz w:val="22"/>
          <w:szCs w:val="22"/>
        </w:rPr>
        <w:t>placer cette démarche dans une dynamique de concertation étroite avec la DNS et l’ensemble des acteurs concernés.</w:t>
      </w:r>
      <w:r w:rsidR="00522911" w:rsidRPr="00ED547D">
        <w:rPr>
          <w:rFonts w:ascii="Calibri" w:eastAsia="Calibri" w:hAnsi="Calibri" w:cs="Calibri"/>
          <w:sz w:val="22"/>
          <w:szCs w:val="22"/>
        </w:rPr>
        <w:t xml:space="preserve"> </w:t>
      </w:r>
    </w:p>
    <w:p w14:paraId="33B0BC72" w14:textId="1E3A2DB2" w:rsidR="00C94983" w:rsidRDefault="00C94983" w:rsidP="00C94983">
      <w:pPr>
        <w:ind w:left="720"/>
        <w:rPr>
          <w:rFonts w:ascii="Calibri" w:eastAsia="Calibri" w:hAnsi="Calibri" w:cs="Calibri"/>
          <w:sz w:val="22"/>
          <w:szCs w:val="22"/>
        </w:rPr>
      </w:pPr>
    </w:p>
    <w:p w14:paraId="38F7B5B2" w14:textId="120231B4" w:rsidR="00C94983" w:rsidRDefault="00C94983" w:rsidP="00C94983">
      <w:pPr>
        <w:ind w:left="720"/>
        <w:rPr>
          <w:rFonts w:ascii="Calibri" w:eastAsia="Calibri" w:hAnsi="Calibri" w:cs="Calibri"/>
          <w:sz w:val="22"/>
          <w:szCs w:val="22"/>
        </w:rPr>
      </w:pPr>
    </w:p>
    <w:p w14:paraId="7939772A" w14:textId="2C9D8FFA" w:rsidR="00C94983" w:rsidRDefault="00C94983">
      <w:pPr>
        <w:pBdr>
          <w:top w:val="nil"/>
          <w:left w:val="nil"/>
          <w:bottom w:val="nil"/>
          <w:right w:val="nil"/>
          <w:between w:val="nil"/>
          <w:bar w:val="nil"/>
        </w:pBdr>
        <w:rPr>
          <w:rFonts w:ascii="Calibri" w:eastAsia="Calibri" w:hAnsi="Calibri" w:cs="Calibri"/>
          <w:sz w:val="22"/>
          <w:szCs w:val="22"/>
        </w:rPr>
      </w:pPr>
      <w:r>
        <w:rPr>
          <w:rFonts w:ascii="Calibri" w:eastAsia="Calibri" w:hAnsi="Calibri" w:cs="Calibri"/>
          <w:sz w:val="22"/>
          <w:szCs w:val="22"/>
        </w:rPr>
        <w:br w:type="page"/>
      </w:r>
    </w:p>
    <w:p w14:paraId="13773A2A" w14:textId="5BB1FF2B" w:rsidR="00A447EE" w:rsidRPr="00914819" w:rsidRDefault="00334E52" w:rsidP="00744E85">
      <w:pPr>
        <w:numPr>
          <w:ilvl w:val="0"/>
          <w:numId w:val="10"/>
        </w:numPr>
        <w:spacing w:after="240"/>
        <w:rPr>
          <w:rFonts w:ascii="Calibri" w:eastAsia="Calibri" w:hAnsi="Calibri" w:cs="Calibri"/>
          <w:sz w:val="22"/>
          <w:szCs w:val="22"/>
        </w:rPr>
      </w:pPr>
      <w:r>
        <w:rPr>
          <w:rFonts w:ascii="Calibri" w:eastAsia="Calibri" w:hAnsi="Calibri" w:cs="Calibri"/>
          <w:noProof/>
          <w:sz w:val="22"/>
          <w:szCs w:val="22"/>
        </w:rPr>
        <w:lastRenderedPageBreak/>
        <w:drawing>
          <wp:anchor distT="0" distB="0" distL="114300" distR="114300" simplePos="0" relativeHeight="251753472" behindDoc="0" locked="0" layoutInCell="1" allowOverlap="1" wp14:anchorId="4031C7CF" wp14:editId="0007FF85">
            <wp:simplePos x="0" y="0"/>
            <wp:positionH relativeFrom="column">
              <wp:posOffset>114300</wp:posOffset>
            </wp:positionH>
            <wp:positionV relativeFrom="paragraph">
              <wp:posOffset>1211725</wp:posOffset>
            </wp:positionV>
            <wp:extent cx="228600" cy="228600"/>
            <wp:effectExtent l="25400" t="12700" r="76200" b="63500"/>
            <wp:wrapNone/>
            <wp:docPr id="32" name="Graphique 3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sidRPr="00914819">
        <w:rPr>
          <w:rFonts w:ascii="Calibri" w:eastAsia="Calibri" w:hAnsi="Calibri" w:cs="Calibri"/>
          <w:sz w:val="22"/>
          <w:szCs w:val="22"/>
          <w:u w:val="single"/>
        </w:rPr>
        <w:t>ROR</w:t>
      </w:r>
      <w:r w:rsidR="00A447EE" w:rsidRPr="00914819">
        <w:rPr>
          <w:rFonts w:ascii="Calibri" w:eastAsia="Calibri" w:hAnsi="Calibri" w:cs="Calibri"/>
          <w:sz w:val="22"/>
          <w:szCs w:val="22"/>
          <w:u w:val="single"/>
        </w:rPr>
        <w:br/>
      </w:r>
      <w:r w:rsidR="004B0E17">
        <w:rPr>
          <w:rFonts w:ascii="Calibri" w:eastAsia="Calibri" w:hAnsi="Calibri" w:cs="Calibri"/>
          <w:sz w:val="22"/>
          <w:szCs w:val="22"/>
        </w:rPr>
        <w:br/>
      </w:r>
      <w:r w:rsidR="00A447EE" w:rsidRPr="00914819">
        <w:rPr>
          <w:rFonts w:ascii="Calibri" w:eastAsia="Calibri" w:hAnsi="Calibri" w:cs="Calibri"/>
          <w:sz w:val="22"/>
          <w:szCs w:val="22"/>
        </w:rPr>
        <w:t xml:space="preserve">Alors qu’il s’agit d’un sujet d’importance majeure à l’égard du développement de services à valeur ajoutée prenant appui sur les informations de ce répertoire (accès à la cartographie des ressources au  bénéfice du développement de services facilitant l’accès aux soins, l’orientation des patients), nous sommes confrontés aux écueils suivants qu’il </w:t>
      </w:r>
      <w:r w:rsidR="00A853DF">
        <w:rPr>
          <w:rFonts w:ascii="Calibri" w:eastAsia="Calibri" w:hAnsi="Calibri" w:cs="Calibri"/>
          <w:sz w:val="22"/>
          <w:szCs w:val="22"/>
        </w:rPr>
        <w:t>nous</w:t>
      </w:r>
      <w:r w:rsidR="00A447EE" w:rsidRPr="00914819">
        <w:rPr>
          <w:rFonts w:ascii="Calibri" w:eastAsia="Calibri" w:hAnsi="Calibri" w:cs="Calibri"/>
          <w:sz w:val="22"/>
          <w:szCs w:val="22"/>
        </w:rPr>
        <w:t xml:space="preserve"> semble urgent de traiter pour parvenir à une mobilisation des acteurs porteurs d’offres logicielles.</w:t>
      </w:r>
      <w:r w:rsidR="00A447EE" w:rsidRPr="00914819">
        <w:rPr>
          <w:rFonts w:ascii="Calibri" w:eastAsia="Calibri" w:hAnsi="Calibri" w:cs="Calibri"/>
          <w:sz w:val="22"/>
          <w:szCs w:val="22"/>
        </w:rPr>
        <w:br/>
        <w:t>Multiplicité des plateformes ROR : si les voies de la convergence entre les deux solutions existantes sont manifestement engagées, nous sommes en attente de la publication de spécifications homogénéisées des web services qui permettront de réaliser les intégrations souhaitables : alimentation des données sur le champ de l’ambulatoire par les outils des PS, accès aux données du ROR afin de fournir des services permettant d’enrichir les offres numériques d’accès aux soins (annuaire des ressources, prise de RDV, …).</w:t>
      </w:r>
      <w:r w:rsidR="00A853DF">
        <w:rPr>
          <w:rFonts w:ascii="Calibri" w:eastAsia="Calibri" w:hAnsi="Calibri" w:cs="Calibri"/>
          <w:sz w:val="22"/>
          <w:szCs w:val="22"/>
        </w:rPr>
        <w:t xml:space="preserve"> </w:t>
      </w:r>
      <w:r w:rsidR="00A447EE">
        <w:rPr>
          <w:rFonts w:ascii="Calibri" w:eastAsia="Calibri" w:hAnsi="Calibri" w:cs="Calibri"/>
          <w:sz w:val="22"/>
          <w:szCs w:val="22"/>
        </w:rPr>
        <w:br/>
        <w:t>Si l’homogénéisation des solutions ROR existantes marque un premier pas positif, le modèle idéal serait néanmoins que le dispositif ne repose que sur une seule plateforme nationale.</w:t>
      </w:r>
    </w:p>
    <w:p w14:paraId="5FFF08CA" w14:textId="4DE238A7" w:rsidR="00A447EE" w:rsidRPr="00914819" w:rsidRDefault="00A447EE" w:rsidP="00744E85">
      <w:pPr>
        <w:numPr>
          <w:ilvl w:val="0"/>
          <w:numId w:val="10"/>
        </w:numPr>
        <w:spacing w:after="240"/>
        <w:rPr>
          <w:rFonts w:ascii="Calibri" w:eastAsia="Calibri" w:hAnsi="Calibri" w:cs="Calibri"/>
          <w:sz w:val="22"/>
          <w:szCs w:val="22"/>
        </w:rPr>
      </w:pPr>
      <w:r w:rsidRPr="00914819">
        <w:rPr>
          <w:rFonts w:ascii="Calibri" w:eastAsia="Calibri" w:hAnsi="Calibri" w:cs="Calibri"/>
          <w:sz w:val="22"/>
          <w:szCs w:val="22"/>
          <w:u w:val="single"/>
        </w:rPr>
        <w:t>E-prescription</w:t>
      </w:r>
      <w:r w:rsidRPr="00914819">
        <w:rPr>
          <w:rFonts w:ascii="Calibri" w:eastAsia="Calibri" w:hAnsi="Calibri" w:cs="Calibri"/>
          <w:sz w:val="22"/>
          <w:szCs w:val="22"/>
          <w:u w:val="single"/>
        </w:rPr>
        <w:br/>
      </w:r>
      <w:r w:rsidR="004B0E17">
        <w:rPr>
          <w:rFonts w:ascii="Calibri" w:eastAsia="Calibri" w:hAnsi="Calibri" w:cs="Calibri"/>
          <w:sz w:val="22"/>
          <w:szCs w:val="22"/>
        </w:rPr>
        <w:br/>
      </w:r>
      <w:r w:rsidRPr="00914819">
        <w:rPr>
          <w:rFonts w:ascii="Calibri" w:eastAsia="Calibri" w:hAnsi="Calibri" w:cs="Calibri"/>
          <w:sz w:val="22"/>
          <w:szCs w:val="22"/>
        </w:rPr>
        <w:t>Le seconde phase des pilotes auxquels nous participons avec la CNAM arrive à son terme fin 2019. Elle nous a permis de prendre en compte les nouvelles orientations techniques et fonctionnelles, dans une logique de la préparation de sa généralisation sur l’ensemble du territoire début 2020.</w:t>
      </w:r>
      <w:r w:rsidRPr="00914819">
        <w:rPr>
          <w:rFonts w:ascii="Calibri" w:eastAsia="Calibri" w:hAnsi="Calibri" w:cs="Calibri"/>
          <w:sz w:val="22"/>
          <w:szCs w:val="22"/>
        </w:rPr>
        <w:br/>
        <w:t xml:space="preserve">Le dispositif est de nature, tant à l’égard des prescriptions que des dispensations, </w:t>
      </w:r>
      <w:r w:rsidR="004C1666">
        <w:rPr>
          <w:rFonts w:ascii="Calibri" w:eastAsia="Calibri" w:hAnsi="Calibri" w:cs="Calibri"/>
          <w:sz w:val="22"/>
          <w:szCs w:val="22"/>
        </w:rPr>
        <w:t>à</w:t>
      </w:r>
      <w:r w:rsidRPr="00914819">
        <w:rPr>
          <w:rFonts w:ascii="Calibri" w:eastAsia="Calibri" w:hAnsi="Calibri" w:cs="Calibri"/>
          <w:sz w:val="22"/>
          <w:szCs w:val="22"/>
        </w:rPr>
        <w:t xml:space="preserve"> dématérialiser les données qui alimentent, via un flux en Y, le serveur « e-prescription » et le DMP.</w:t>
      </w:r>
      <w:r>
        <w:rPr>
          <w:rFonts w:ascii="Calibri" w:eastAsia="Calibri" w:hAnsi="Calibri" w:cs="Calibri"/>
          <w:sz w:val="22"/>
          <w:szCs w:val="22"/>
        </w:rPr>
        <w:br/>
      </w:r>
      <w:r w:rsidRPr="00914819">
        <w:rPr>
          <w:rFonts w:ascii="Calibri" w:eastAsia="Calibri" w:hAnsi="Calibri" w:cs="Calibri"/>
          <w:sz w:val="22"/>
          <w:szCs w:val="22"/>
        </w:rPr>
        <w:br/>
        <w:t xml:space="preserve">Au-delà de cette étape de dématérialisation des prescriptions et </w:t>
      </w:r>
      <w:r w:rsidR="004C1666">
        <w:rPr>
          <w:rFonts w:ascii="Calibri" w:eastAsia="Calibri" w:hAnsi="Calibri" w:cs="Calibri"/>
          <w:sz w:val="22"/>
          <w:szCs w:val="22"/>
        </w:rPr>
        <w:t xml:space="preserve">des </w:t>
      </w:r>
      <w:r w:rsidRPr="00914819">
        <w:rPr>
          <w:rFonts w:ascii="Calibri" w:eastAsia="Calibri" w:hAnsi="Calibri" w:cs="Calibri"/>
          <w:sz w:val="22"/>
          <w:szCs w:val="22"/>
        </w:rPr>
        <w:t xml:space="preserve">dispensations des médicaments, il </w:t>
      </w:r>
      <w:r>
        <w:rPr>
          <w:rFonts w:ascii="Calibri" w:eastAsia="Calibri" w:hAnsi="Calibri" w:cs="Calibri"/>
          <w:sz w:val="22"/>
          <w:szCs w:val="22"/>
        </w:rPr>
        <w:t>nous</w:t>
      </w:r>
      <w:r w:rsidRPr="00914819">
        <w:rPr>
          <w:rFonts w:ascii="Calibri" w:eastAsia="Calibri" w:hAnsi="Calibri" w:cs="Calibri"/>
          <w:sz w:val="22"/>
          <w:szCs w:val="22"/>
        </w:rPr>
        <w:t xml:space="preserve"> paraît important de démarrer la prescription des examens. Il s’agit sans aucun doute d’un sujet complexe qui viendra compléter les travaux qui ont été réalisés dans le cadre de l’intégration des résultats de biologie dans les LPS.</w:t>
      </w:r>
      <w:r>
        <w:rPr>
          <w:rFonts w:ascii="Calibri" w:eastAsia="Calibri" w:hAnsi="Calibri" w:cs="Calibri"/>
          <w:sz w:val="22"/>
          <w:szCs w:val="22"/>
        </w:rPr>
        <w:t xml:space="preserve"> A cet égard sans doute conviendra-t-il de procéder par étapes successives, en partant dans un premier temps sur une structuration minimale de type CDA N2 propice à un premier niveau d’intégration automatique de supports documentaires (modèle LDL).</w:t>
      </w:r>
    </w:p>
    <w:p w14:paraId="56011BAD" w14:textId="3779C1C5" w:rsidR="00A447EE" w:rsidRPr="00914819" w:rsidRDefault="00A447EE" w:rsidP="00744E85">
      <w:pPr>
        <w:numPr>
          <w:ilvl w:val="0"/>
          <w:numId w:val="10"/>
        </w:numPr>
        <w:rPr>
          <w:rFonts w:ascii="Calibri" w:eastAsia="Calibri" w:hAnsi="Calibri" w:cs="Calibri"/>
          <w:sz w:val="22"/>
          <w:szCs w:val="22"/>
        </w:rPr>
      </w:pPr>
      <w:r w:rsidRPr="00914819">
        <w:rPr>
          <w:rFonts w:ascii="Calibri" w:eastAsia="Calibri" w:hAnsi="Calibri" w:cs="Calibri"/>
          <w:sz w:val="22"/>
          <w:szCs w:val="22"/>
          <w:u w:val="single"/>
        </w:rPr>
        <w:t>Dossier de Liaison des Urgences</w:t>
      </w:r>
      <w:r w:rsidRPr="00914819">
        <w:rPr>
          <w:rFonts w:ascii="Calibri" w:eastAsia="Calibri" w:hAnsi="Calibri" w:cs="Calibri"/>
          <w:sz w:val="22"/>
          <w:szCs w:val="22"/>
        </w:rPr>
        <w:t xml:space="preserve"> (DLU)</w:t>
      </w:r>
      <w:r w:rsidRPr="00914819">
        <w:rPr>
          <w:rFonts w:ascii="Calibri" w:eastAsia="Calibri" w:hAnsi="Calibri" w:cs="Calibri"/>
          <w:sz w:val="22"/>
          <w:szCs w:val="22"/>
        </w:rPr>
        <w:br/>
      </w:r>
      <w:r w:rsidR="004B0E17">
        <w:rPr>
          <w:rFonts w:ascii="Calibri" w:eastAsia="Calibri" w:hAnsi="Calibri" w:cs="Calibri"/>
          <w:sz w:val="22"/>
          <w:szCs w:val="22"/>
        </w:rPr>
        <w:br/>
      </w:r>
      <w:r w:rsidRPr="00914819">
        <w:rPr>
          <w:rFonts w:ascii="Calibri" w:eastAsia="Calibri" w:hAnsi="Calibri" w:cs="Calibri"/>
          <w:sz w:val="22"/>
          <w:szCs w:val="22"/>
        </w:rPr>
        <w:t xml:space="preserve">Il s’agit d’un support d’échange qui a toute son importance dans </w:t>
      </w:r>
      <w:r w:rsidR="00AC2D24">
        <w:rPr>
          <w:rFonts w:ascii="Calibri" w:eastAsia="Calibri" w:hAnsi="Calibri" w:cs="Calibri"/>
          <w:sz w:val="22"/>
          <w:szCs w:val="22"/>
        </w:rPr>
        <w:t xml:space="preserve">le cadre </w:t>
      </w:r>
      <w:r w:rsidRPr="00914819">
        <w:rPr>
          <w:rFonts w:ascii="Calibri" w:eastAsia="Calibri" w:hAnsi="Calibri" w:cs="Calibri"/>
          <w:sz w:val="22"/>
          <w:szCs w:val="22"/>
        </w:rPr>
        <w:t xml:space="preserve">de </w:t>
      </w:r>
      <w:r w:rsidR="00AC2D24">
        <w:rPr>
          <w:rFonts w:ascii="Calibri" w:eastAsia="Calibri" w:hAnsi="Calibri" w:cs="Calibri"/>
          <w:sz w:val="22"/>
          <w:szCs w:val="22"/>
        </w:rPr>
        <w:t xml:space="preserve">la </w:t>
      </w:r>
      <w:r w:rsidRPr="00914819">
        <w:rPr>
          <w:rFonts w:ascii="Calibri" w:eastAsia="Calibri" w:hAnsi="Calibri" w:cs="Calibri"/>
          <w:sz w:val="22"/>
          <w:szCs w:val="22"/>
        </w:rPr>
        <w:t>dématérialisation de la relation entre EHPA</w:t>
      </w:r>
      <w:r w:rsidR="004C1666">
        <w:rPr>
          <w:rFonts w:ascii="Calibri" w:eastAsia="Calibri" w:hAnsi="Calibri" w:cs="Calibri"/>
          <w:sz w:val="22"/>
          <w:szCs w:val="22"/>
        </w:rPr>
        <w:t>D</w:t>
      </w:r>
      <w:r w:rsidRPr="00914819">
        <w:rPr>
          <w:rFonts w:ascii="Calibri" w:eastAsia="Calibri" w:hAnsi="Calibri" w:cs="Calibri"/>
          <w:sz w:val="22"/>
          <w:szCs w:val="22"/>
        </w:rPr>
        <w:t xml:space="preserve"> et hôpitaux (support d’informations pivot</w:t>
      </w:r>
      <w:r w:rsidR="00AC2D24" w:rsidRPr="00914819">
        <w:rPr>
          <w:rFonts w:ascii="Calibri" w:eastAsia="Calibri" w:hAnsi="Calibri" w:cs="Calibri"/>
          <w:sz w:val="22"/>
          <w:szCs w:val="22"/>
        </w:rPr>
        <w:t>)</w:t>
      </w:r>
      <w:r w:rsidR="00AC2D24">
        <w:rPr>
          <w:rFonts w:ascii="Calibri" w:eastAsia="Calibri" w:hAnsi="Calibri" w:cs="Calibri"/>
          <w:sz w:val="22"/>
          <w:szCs w:val="22"/>
        </w:rPr>
        <w:t>, mais aussi dans le cadre des relations entre médecins et EHPAD en préalable aux pratiques de téléconsultations.</w:t>
      </w:r>
    </w:p>
    <w:p w14:paraId="038FA414" w14:textId="77777777" w:rsidR="00A447EE" w:rsidRPr="00914819" w:rsidRDefault="00A447EE" w:rsidP="00A447EE">
      <w:pPr>
        <w:spacing w:after="240"/>
        <w:rPr>
          <w:rFonts w:ascii="Calibri" w:eastAsia="Calibri" w:hAnsi="Calibri" w:cs="Calibri"/>
          <w:sz w:val="22"/>
          <w:szCs w:val="22"/>
          <w:u w:val="single"/>
        </w:rPr>
      </w:pPr>
    </w:p>
    <w:p w14:paraId="389639C8" w14:textId="55F5A475" w:rsidR="00A447EE" w:rsidRPr="00914819" w:rsidRDefault="00334E52" w:rsidP="00744E85">
      <w:pPr>
        <w:numPr>
          <w:ilvl w:val="0"/>
          <w:numId w:val="10"/>
        </w:numPr>
        <w:spacing w:after="24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55520" behindDoc="0" locked="0" layoutInCell="1" allowOverlap="1" wp14:anchorId="3DABB04D" wp14:editId="6726F3CE">
            <wp:simplePos x="0" y="0"/>
            <wp:positionH relativeFrom="column">
              <wp:posOffset>131445</wp:posOffset>
            </wp:positionH>
            <wp:positionV relativeFrom="paragraph">
              <wp:posOffset>1053610</wp:posOffset>
            </wp:positionV>
            <wp:extent cx="228600" cy="228600"/>
            <wp:effectExtent l="25400" t="12700" r="76200" b="63500"/>
            <wp:wrapNone/>
            <wp:docPr id="33" name="Graphique 33"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C1666">
        <w:rPr>
          <w:rFonts w:ascii="Calibri" w:eastAsia="Calibri" w:hAnsi="Calibri" w:cs="Calibri"/>
          <w:sz w:val="22"/>
          <w:szCs w:val="22"/>
          <w:u w:val="single"/>
        </w:rPr>
        <w:t>E</w:t>
      </w:r>
      <w:r w:rsidR="00A447EE" w:rsidRPr="00914819">
        <w:rPr>
          <w:rFonts w:ascii="Calibri" w:eastAsia="Calibri" w:hAnsi="Calibri" w:cs="Calibri"/>
          <w:sz w:val="22"/>
          <w:szCs w:val="22"/>
          <w:u w:val="single"/>
        </w:rPr>
        <w:t>-parcours – Plateformes de coordination territoriales</w:t>
      </w:r>
      <w:r w:rsidR="00A447EE" w:rsidRPr="00914819">
        <w:rPr>
          <w:rFonts w:ascii="Calibri" w:eastAsia="Calibri" w:hAnsi="Calibri" w:cs="Calibri"/>
          <w:sz w:val="22"/>
          <w:szCs w:val="22"/>
        </w:rPr>
        <w:br/>
      </w:r>
      <w:r w:rsidR="004B0E17">
        <w:rPr>
          <w:rFonts w:ascii="Calibri" w:eastAsia="Calibri" w:hAnsi="Calibri" w:cs="Calibri"/>
          <w:sz w:val="22"/>
          <w:szCs w:val="22"/>
        </w:rPr>
        <w:br/>
      </w:r>
      <w:r w:rsidR="00A447EE" w:rsidRPr="00914819">
        <w:rPr>
          <w:rFonts w:ascii="Calibri" w:eastAsia="Calibri" w:hAnsi="Calibri" w:cs="Calibri"/>
          <w:sz w:val="22"/>
          <w:szCs w:val="22"/>
        </w:rPr>
        <w:t>Vous savez quels ont été nos engagements ainsi que nos points d’attention sur ce dossier. Une des conditions principales conditionnant l’engagement de nos entreprises dans les travaux d’intégration des services de coordination de parcours portait sur la mutualisation des services d’intégration permettant d’en garantir une réplication à l’échelle nationale.</w:t>
      </w:r>
      <w:r w:rsidR="00A447EE" w:rsidRPr="00914819">
        <w:rPr>
          <w:rFonts w:ascii="Calibri" w:eastAsia="Calibri" w:hAnsi="Calibri" w:cs="Calibri"/>
          <w:sz w:val="22"/>
          <w:szCs w:val="22"/>
        </w:rPr>
        <w:br/>
        <w:t xml:space="preserve">Nous avons porté, en relation avec les 5 régions pilotes TSN et l’ASIP Santé, une démarche ayant débouché sur la rédaction d’un guide d’intégration des services socles de coordination. Il s’agit </w:t>
      </w:r>
      <w:r w:rsidR="00A447EE">
        <w:rPr>
          <w:rFonts w:ascii="Calibri" w:eastAsia="Calibri" w:hAnsi="Calibri" w:cs="Calibri"/>
          <w:sz w:val="22"/>
          <w:szCs w:val="22"/>
        </w:rPr>
        <w:t>selon nous</w:t>
      </w:r>
      <w:r w:rsidR="00A447EE" w:rsidRPr="00914819">
        <w:rPr>
          <w:rFonts w:ascii="Calibri" w:eastAsia="Calibri" w:hAnsi="Calibri" w:cs="Calibri"/>
          <w:sz w:val="22"/>
          <w:szCs w:val="22"/>
        </w:rPr>
        <w:t xml:space="preserve"> d’une première étape, dont on peut s’interroger sur la réelle portée qu’ont pu lui accorder les services ministériels en charge de cette question et l’ensemble des institutions régionales</w:t>
      </w:r>
      <w:r w:rsidR="004C1666">
        <w:rPr>
          <w:rFonts w:ascii="Calibri" w:eastAsia="Calibri" w:hAnsi="Calibri" w:cs="Calibri"/>
          <w:sz w:val="22"/>
          <w:szCs w:val="22"/>
        </w:rPr>
        <w:t xml:space="preserve">. Elle a pourtant </w:t>
      </w:r>
      <w:r w:rsidR="00A447EE" w:rsidRPr="00914819">
        <w:rPr>
          <w:rFonts w:ascii="Calibri" w:eastAsia="Calibri" w:hAnsi="Calibri" w:cs="Calibri"/>
          <w:sz w:val="22"/>
          <w:szCs w:val="22"/>
        </w:rPr>
        <w:t xml:space="preserve">le mérite d’avoir posé les bases d’une démarche et </w:t>
      </w:r>
      <w:r w:rsidR="00A447EE">
        <w:rPr>
          <w:rFonts w:ascii="Calibri" w:eastAsia="Calibri" w:hAnsi="Calibri" w:cs="Calibri"/>
          <w:sz w:val="22"/>
          <w:szCs w:val="22"/>
        </w:rPr>
        <w:t xml:space="preserve">de </w:t>
      </w:r>
      <w:r w:rsidR="00A447EE" w:rsidRPr="00914819">
        <w:rPr>
          <w:rFonts w:ascii="Calibri" w:eastAsia="Calibri" w:hAnsi="Calibri" w:cs="Calibri"/>
          <w:sz w:val="22"/>
          <w:szCs w:val="22"/>
        </w:rPr>
        <w:t>socles techniques de référence qu’il serait assurément utile de relancer.</w:t>
      </w:r>
      <w:r w:rsidR="00220400">
        <w:rPr>
          <w:rFonts w:ascii="Calibri" w:eastAsia="Calibri" w:hAnsi="Calibri" w:cs="Calibri"/>
          <w:sz w:val="22"/>
          <w:szCs w:val="22"/>
        </w:rPr>
        <w:t xml:space="preserve"> </w:t>
      </w:r>
      <w:r w:rsidR="00A447EE" w:rsidRPr="00914819">
        <w:rPr>
          <w:rFonts w:ascii="Calibri" w:eastAsia="Calibri" w:hAnsi="Calibri" w:cs="Calibri"/>
          <w:sz w:val="22"/>
          <w:szCs w:val="22"/>
        </w:rPr>
        <w:br/>
      </w:r>
      <w:r w:rsidR="00A447EE" w:rsidRPr="00914819">
        <w:rPr>
          <w:rFonts w:ascii="Calibri" w:eastAsia="Calibri" w:hAnsi="Calibri" w:cs="Calibri"/>
          <w:sz w:val="22"/>
          <w:szCs w:val="22"/>
        </w:rPr>
        <w:br/>
        <w:t xml:space="preserve">Nous avions par ailleurs identifié la nécessaire clarification qu’il convenait d’apporter entre les </w:t>
      </w:r>
      <w:r w:rsidR="00A447EE" w:rsidRPr="00914819">
        <w:rPr>
          <w:rFonts w:ascii="Calibri" w:eastAsia="Calibri" w:hAnsi="Calibri" w:cs="Calibri"/>
          <w:sz w:val="22"/>
          <w:szCs w:val="22"/>
        </w:rPr>
        <w:lastRenderedPageBreak/>
        <w:t xml:space="preserve">services portés par ces plateformes et ceux portés par les plateformes nationales (DMP, DP, </w:t>
      </w:r>
      <w:r w:rsidR="004B0E17">
        <w:rPr>
          <w:rFonts w:ascii="Calibri" w:eastAsia="Calibri" w:hAnsi="Calibri" w:cs="Calibri"/>
          <w:noProof/>
          <w:sz w:val="22"/>
          <w:szCs w:val="22"/>
        </w:rPr>
        <w:drawing>
          <wp:anchor distT="0" distB="0" distL="114300" distR="114300" simplePos="0" relativeHeight="251757568" behindDoc="0" locked="0" layoutInCell="1" allowOverlap="1" wp14:anchorId="727B080C" wp14:editId="10C33B57">
            <wp:simplePos x="0" y="0"/>
            <wp:positionH relativeFrom="column">
              <wp:posOffset>136525</wp:posOffset>
            </wp:positionH>
            <wp:positionV relativeFrom="paragraph">
              <wp:posOffset>313778</wp:posOffset>
            </wp:positionV>
            <wp:extent cx="228600" cy="228600"/>
            <wp:effectExtent l="25400" t="12700" r="76200" b="63500"/>
            <wp:wrapNone/>
            <wp:docPr id="34" name="Graphique 3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sidRPr="00914819">
        <w:rPr>
          <w:rFonts w:ascii="Calibri" w:eastAsia="Calibri" w:hAnsi="Calibri" w:cs="Calibri"/>
          <w:sz w:val="22"/>
          <w:szCs w:val="22"/>
        </w:rPr>
        <w:t xml:space="preserve">serveur e-prescription de la CNAM, futur ENS). Cette question </w:t>
      </w:r>
      <w:r w:rsidR="00A447EE">
        <w:rPr>
          <w:rFonts w:ascii="Calibri" w:eastAsia="Calibri" w:hAnsi="Calibri" w:cs="Calibri"/>
          <w:sz w:val="22"/>
          <w:szCs w:val="22"/>
        </w:rPr>
        <w:t>nous</w:t>
      </w:r>
      <w:r w:rsidR="00A447EE" w:rsidRPr="00914819">
        <w:rPr>
          <w:rFonts w:ascii="Calibri" w:eastAsia="Calibri" w:hAnsi="Calibri" w:cs="Calibri"/>
          <w:sz w:val="22"/>
          <w:szCs w:val="22"/>
        </w:rPr>
        <w:t xml:space="preserve"> paraît d’autant plus importante à traiter que des démarches sont en cours pour préparer la généralisation du programme e-parcours et qu’une stratégie d’urbanisation des services est en cours d’élaboration.</w:t>
      </w:r>
      <w:r w:rsidR="00A447EE" w:rsidRPr="00914819">
        <w:rPr>
          <w:rFonts w:ascii="Calibri" w:eastAsia="Calibri" w:hAnsi="Calibri" w:cs="Calibri"/>
          <w:sz w:val="22"/>
          <w:szCs w:val="22"/>
        </w:rPr>
        <w:br/>
      </w:r>
      <w:r w:rsidR="00A447EE">
        <w:rPr>
          <w:rFonts w:ascii="Calibri" w:eastAsia="Calibri" w:hAnsi="Calibri" w:cs="Calibri"/>
          <w:sz w:val="22"/>
          <w:szCs w:val="22"/>
        </w:rPr>
        <w:t>Nous ne voyons</w:t>
      </w:r>
      <w:r w:rsidR="00A447EE" w:rsidRPr="00914819">
        <w:rPr>
          <w:rFonts w:ascii="Calibri" w:eastAsia="Calibri" w:hAnsi="Calibri" w:cs="Calibri"/>
          <w:sz w:val="22"/>
          <w:szCs w:val="22"/>
        </w:rPr>
        <w:t xml:space="preserve"> d’autre vecteur d’arbitrage que celui d’une analyse réalisée sur la base des services portés par ces plateformes au bénéfice d’usages clairement différenciés et complémentaires</w:t>
      </w:r>
      <w:r w:rsidR="00220400">
        <w:rPr>
          <w:rFonts w:ascii="Calibri" w:eastAsia="Calibri" w:hAnsi="Calibri" w:cs="Calibri"/>
          <w:sz w:val="22"/>
          <w:szCs w:val="22"/>
        </w:rPr>
        <w:t xml:space="preserve"> de ceux qui existent par ailleurs</w:t>
      </w:r>
      <w:r w:rsidR="00A447EE" w:rsidRPr="00914819">
        <w:rPr>
          <w:rFonts w:ascii="Calibri" w:eastAsia="Calibri" w:hAnsi="Calibri" w:cs="Calibri"/>
          <w:sz w:val="22"/>
          <w:szCs w:val="22"/>
        </w:rPr>
        <w:t>.</w:t>
      </w:r>
    </w:p>
    <w:p w14:paraId="76336F11" w14:textId="77777777" w:rsidR="00A447EE" w:rsidRPr="00914819" w:rsidRDefault="00A447EE" w:rsidP="00A447EE">
      <w:pPr>
        <w:ind w:left="720"/>
        <w:rPr>
          <w:rFonts w:ascii="Calibri" w:eastAsia="Calibri" w:hAnsi="Calibri" w:cs="Calibri"/>
          <w:sz w:val="22"/>
          <w:szCs w:val="22"/>
          <w:u w:val="single"/>
        </w:rPr>
      </w:pPr>
    </w:p>
    <w:p w14:paraId="4789DB1B" w14:textId="7A69B5E7" w:rsidR="00A447EE" w:rsidRDefault="00A447EE" w:rsidP="00A447EE">
      <w:pPr>
        <w:spacing w:after="120"/>
        <w:rPr>
          <w:rFonts w:ascii="Calibri" w:eastAsia="Calibri" w:hAnsi="Calibri" w:cs="Calibri"/>
          <w:sz w:val="22"/>
          <w:szCs w:val="22"/>
        </w:rPr>
      </w:pPr>
      <w:r>
        <w:rPr>
          <w:rFonts w:ascii="Calibri" w:eastAsia="Calibri" w:hAnsi="Calibri" w:cs="Calibri"/>
          <w:sz w:val="22"/>
          <w:szCs w:val="22"/>
        </w:rPr>
        <w:t xml:space="preserve">En réponse à la question soulevée sur les modalités de tests d’interopérabilité, et plus généralement sur </w:t>
      </w:r>
      <w:r w:rsidR="00220400">
        <w:rPr>
          <w:rFonts w:ascii="Calibri" w:eastAsia="Calibri" w:hAnsi="Calibri" w:cs="Calibri"/>
          <w:sz w:val="22"/>
          <w:szCs w:val="22"/>
        </w:rPr>
        <w:t xml:space="preserve">les </w:t>
      </w:r>
      <w:r>
        <w:rPr>
          <w:rFonts w:ascii="Calibri" w:eastAsia="Calibri" w:hAnsi="Calibri" w:cs="Calibri"/>
          <w:sz w:val="22"/>
          <w:szCs w:val="22"/>
        </w:rPr>
        <w:t>dispositions à adopter pour mesurer la conformité des solutions portées par les industriels</w:t>
      </w:r>
      <w:r w:rsidR="00220400">
        <w:rPr>
          <w:rFonts w:ascii="Calibri" w:eastAsia="Calibri" w:hAnsi="Calibri" w:cs="Calibri"/>
          <w:sz w:val="22"/>
          <w:szCs w:val="22"/>
        </w:rPr>
        <w:t xml:space="preserve">, et plus généralement par tous porteurs de solutions numériques, avec </w:t>
      </w:r>
      <w:r>
        <w:rPr>
          <w:rFonts w:ascii="Calibri" w:eastAsia="Calibri" w:hAnsi="Calibri" w:cs="Calibri"/>
          <w:sz w:val="22"/>
          <w:szCs w:val="22"/>
        </w:rPr>
        <w:t>le socle d’interopérabilité de la doctrine.</w:t>
      </w:r>
    </w:p>
    <w:p w14:paraId="0EA769DC" w14:textId="77777777" w:rsidR="00A447EE" w:rsidRDefault="00A447EE" w:rsidP="00A447EE">
      <w:pPr>
        <w:spacing w:after="120"/>
        <w:rPr>
          <w:rFonts w:ascii="Calibri" w:eastAsia="Calibri" w:hAnsi="Calibri" w:cs="Calibri"/>
          <w:sz w:val="22"/>
          <w:szCs w:val="22"/>
        </w:rPr>
      </w:pPr>
      <w:r>
        <w:rPr>
          <w:rFonts w:ascii="Calibri" w:eastAsia="Calibri" w:hAnsi="Calibri" w:cs="Calibri"/>
          <w:sz w:val="22"/>
          <w:szCs w:val="22"/>
        </w:rPr>
        <w:t>Si les travaux envisagés pour mettre à disposition une plateforme de tests portée par l’ASIP Santé (ANS) nous paraissent pertinents, nous considérons qu’ils sont néanmoins insuffisants au regard des retours d’expériences dont nous disposons sur ces questions, et de la clarté que nous nous devons d’apporter aux professionnels usagers.</w:t>
      </w:r>
    </w:p>
    <w:p w14:paraId="4794E899" w14:textId="77777777" w:rsidR="00A447EE" w:rsidRDefault="00A447EE" w:rsidP="00744E85">
      <w:pPr>
        <w:numPr>
          <w:ilvl w:val="0"/>
          <w:numId w:val="11"/>
        </w:numPr>
        <w:spacing w:after="120"/>
        <w:ind w:left="714" w:hanging="357"/>
        <w:rPr>
          <w:rFonts w:ascii="Calibri" w:eastAsia="Calibri" w:hAnsi="Calibri" w:cs="Calibri"/>
          <w:sz w:val="22"/>
          <w:szCs w:val="22"/>
        </w:rPr>
      </w:pPr>
      <w:r>
        <w:rPr>
          <w:rFonts w:ascii="Calibri" w:eastAsia="Calibri" w:hAnsi="Calibri" w:cs="Calibri"/>
          <w:sz w:val="22"/>
          <w:szCs w:val="22"/>
        </w:rPr>
        <w:t>Sur le contenu de la plateforme de tests</w:t>
      </w:r>
    </w:p>
    <w:p w14:paraId="36AC20F5" w14:textId="44745D52" w:rsidR="00A447EE" w:rsidRDefault="00A447EE" w:rsidP="00A447EE">
      <w:pPr>
        <w:ind w:left="714"/>
        <w:rPr>
          <w:rFonts w:ascii="Calibri" w:eastAsia="Calibri" w:hAnsi="Calibri" w:cs="Calibri"/>
          <w:sz w:val="22"/>
          <w:szCs w:val="22"/>
        </w:rPr>
      </w:pPr>
      <w:r>
        <w:rPr>
          <w:rFonts w:ascii="Calibri" w:eastAsia="Calibri" w:hAnsi="Calibri" w:cs="Calibri"/>
          <w:sz w:val="22"/>
          <w:szCs w:val="22"/>
        </w:rPr>
        <w:t>La qualité des résultats obtenus par les acteurs candidats à la validation de leurs travaux est dépendante de la complétude et de la pertinence des jeux de tests et schématrons mis à disposition sur la plateforme.</w:t>
      </w:r>
    </w:p>
    <w:p w14:paraId="047915A6" w14:textId="77777777" w:rsidR="00A447EE" w:rsidRDefault="00A447EE" w:rsidP="00A447EE">
      <w:pPr>
        <w:ind w:left="714"/>
        <w:rPr>
          <w:rFonts w:ascii="Calibri" w:eastAsia="Calibri" w:hAnsi="Calibri" w:cs="Calibri"/>
          <w:sz w:val="22"/>
          <w:szCs w:val="22"/>
        </w:rPr>
      </w:pPr>
      <w:r>
        <w:rPr>
          <w:rFonts w:ascii="Calibri" w:eastAsia="Calibri" w:hAnsi="Calibri" w:cs="Calibri"/>
          <w:sz w:val="22"/>
          <w:szCs w:val="22"/>
        </w:rPr>
        <w:t>Leur élaboration doit donc pouvoir se faire en relation avec les acteurs impliqués, en amont des campagnes de validation (groupes d’experts désignés parmi les membres du comité de concertation du CI-SIS, sur la base des actions prioritaires validées).</w:t>
      </w:r>
    </w:p>
    <w:p w14:paraId="34402F16" w14:textId="77777777" w:rsidR="00A447EE" w:rsidRDefault="00A447EE" w:rsidP="00A447EE">
      <w:pPr>
        <w:ind w:left="714"/>
        <w:rPr>
          <w:rFonts w:ascii="Calibri" w:eastAsia="Calibri" w:hAnsi="Calibri" w:cs="Calibri"/>
          <w:sz w:val="22"/>
          <w:szCs w:val="22"/>
        </w:rPr>
      </w:pPr>
      <w:r w:rsidRPr="00415E77">
        <w:rPr>
          <w:rFonts w:ascii="Calibri" w:eastAsia="Calibri" w:hAnsi="Calibri" w:cs="Calibri"/>
          <w:sz w:val="22"/>
          <w:szCs w:val="22"/>
          <w:u w:val="single"/>
        </w:rPr>
        <w:t>Remarque</w:t>
      </w:r>
      <w:r>
        <w:rPr>
          <w:rFonts w:ascii="Calibri" w:eastAsia="Calibri" w:hAnsi="Calibri" w:cs="Calibri"/>
          <w:sz w:val="22"/>
          <w:szCs w:val="22"/>
        </w:rPr>
        <w:t> : en fonction de la maturité des sujets candidats à la phase de tests, il semble judicieux d’aller au-delà d’une mesure de conformité purement technique des solutions afin de prendre en compte des critères de conformité sémantiques (exemple de l’intégration des résultats d’examens de biologie prenant appui sur la norme LOINC).</w:t>
      </w:r>
    </w:p>
    <w:p w14:paraId="1D5B3829" w14:textId="77777777" w:rsidR="00A447EE" w:rsidRDefault="00A447EE" w:rsidP="00A447EE">
      <w:pPr>
        <w:ind w:left="714"/>
        <w:rPr>
          <w:rFonts w:ascii="Calibri" w:eastAsia="Calibri" w:hAnsi="Calibri" w:cs="Calibri"/>
          <w:sz w:val="22"/>
          <w:szCs w:val="22"/>
        </w:rPr>
      </w:pPr>
    </w:p>
    <w:p w14:paraId="4F863637" w14:textId="3F2CFD1D" w:rsidR="00A447EE" w:rsidRDefault="00A447EE" w:rsidP="00A447EE">
      <w:pPr>
        <w:ind w:left="714"/>
        <w:rPr>
          <w:rFonts w:ascii="Calibri" w:eastAsia="Calibri" w:hAnsi="Calibri" w:cs="Calibri"/>
          <w:sz w:val="22"/>
          <w:szCs w:val="22"/>
        </w:rPr>
      </w:pPr>
      <w:r>
        <w:rPr>
          <w:rFonts w:ascii="Calibri" w:eastAsia="Calibri" w:hAnsi="Calibri" w:cs="Calibri"/>
          <w:sz w:val="22"/>
          <w:szCs w:val="22"/>
        </w:rPr>
        <w:t>Cette plateforme de tests est appelée à faire l’objet de deux sollicitation</w:t>
      </w:r>
      <w:r w:rsidR="00220400">
        <w:rPr>
          <w:rFonts w:ascii="Calibri" w:eastAsia="Calibri" w:hAnsi="Calibri" w:cs="Calibri"/>
          <w:sz w:val="22"/>
          <w:szCs w:val="22"/>
        </w:rPr>
        <w:t>s</w:t>
      </w:r>
      <w:r>
        <w:rPr>
          <w:rFonts w:ascii="Calibri" w:eastAsia="Calibri" w:hAnsi="Calibri" w:cs="Calibri"/>
          <w:sz w:val="22"/>
          <w:szCs w:val="22"/>
        </w:rPr>
        <w:t xml:space="preserve"> distinctes.</w:t>
      </w:r>
    </w:p>
    <w:p w14:paraId="6ADAB418" w14:textId="77777777" w:rsidR="00A447EE" w:rsidRDefault="00A447EE" w:rsidP="00A447EE">
      <w:pPr>
        <w:ind w:left="714"/>
        <w:rPr>
          <w:rFonts w:ascii="Calibri" w:eastAsia="Calibri" w:hAnsi="Calibri" w:cs="Calibri"/>
          <w:sz w:val="22"/>
          <w:szCs w:val="22"/>
        </w:rPr>
      </w:pPr>
      <w:r>
        <w:rPr>
          <w:rFonts w:ascii="Calibri" w:eastAsia="Calibri" w:hAnsi="Calibri" w:cs="Calibri"/>
          <w:sz w:val="22"/>
          <w:szCs w:val="22"/>
        </w:rPr>
        <w:t>Lors d’une première phase d’initialisation d’une démarche portée par chaque industriel de manière individuelle, aux fins de tests de sa solution vis-à-vis des standards et jeux de valeurs portés par la plateforme.</w:t>
      </w:r>
    </w:p>
    <w:p w14:paraId="633BEDEF" w14:textId="77777777" w:rsidR="00A447EE" w:rsidRDefault="00A447EE" w:rsidP="00A447EE">
      <w:pPr>
        <w:ind w:left="714"/>
        <w:rPr>
          <w:rFonts w:ascii="Calibri" w:eastAsia="Calibri" w:hAnsi="Calibri" w:cs="Calibri"/>
          <w:sz w:val="22"/>
          <w:szCs w:val="22"/>
        </w:rPr>
      </w:pPr>
      <w:r>
        <w:rPr>
          <w:rFonts w:ascii="Calibri" w:eastAsia="Calibri" w:hAnsi="Calibri" w:cs="Calibri"/>
          <w:sz w:val="22"/>
          <w:szCs w:val="22"/>
        </w:rPr>
        <w:t>Lors d’une seconde phase, matérialisée par un Projectathon, les tests sont réalisés sur la base d’une pluralité d’industriels dans un objectif d’échange « producteur/consommateur ». Cette phase de Connectathon apporte une dimension complémentaire mettant en jeu la conformité technique d’échanges entre acteurs centrés sur la même thématique.</w:t>
      </w:r>
    </w:p>
    <w:p w14:paraId="0D23D55A" w14:textId="77777777" w:rsidR="00A447EE" w:rsidRDefault="00A447EE" w:rsidP="00A447EE">
      <w:pPr>
        <w:ind w:left="714"/>
        <w:rPr>
          <w:rFonts w:ascii="Calibri" w:eastAsia="Calibri" w:hAnsi="Calibri" w:cs="Calibri"/>
          <w:sz w:val="22"/>
          <w:szCs w:val="22"/>
        </w:rPr>
      </w:pPr>
    </w:p>
    <w:p w14:paraId="32BC83E9" w14:textId="3BF711B6" w:rsidR="00A447EE" w:rsidRDefault="00A447EE" w:rsidP="00A447EE">
      <w:pPr>
        <w:spacing w:after="120"/>
        <w:ind w:left="714"/>
        <w:rPr>
          <w:rFonts w:ascii="Calibri" w:eastAsia="Calibri" w:hAnsi="Calibri" w:cs="Calibri"/>
          <w:sz w:val="22"/>
          <w:szCs w:val="22"/>
        </w:rPr>
      </w:pPr>
      <w:r>
        <w:rPr>
          <w:rFonts w:ascii="Calibri" w:eastAsia="Calibri" w:hAnsi="Calibri" w:cs="Calibri"/>
          <w:sz w:val="22"/>
          <w:szCs w:val="22"/>
        </w:rPr>
        <w:t>Remarque : les retours dont nous ont fait part les éditeurs ayant participé au Projectathon des 21-22-23 novembre 2019 se traduisent par une perception positive témoignant de réels progrès par rapport au précédent évènement qui s’était tenu à l’occasion d’IHE Rennes (préparation amont en relation avec les industriels, déroulé sur plusieurs jours, complétude des jeux de tests, gratuité de l’évènement).</w:t>
      </w:r>
    </w:p>
    <w:p w14:paraId="051D4D8D" w14:textId="77777777" w:rsidR="00A447EE" w:rsidRDefault="00A447EE" w:rsidP="00744E85">
      <w:pPr>
        <w:numPr>
          <w:ilvl w:val="0"/>
          <w:numId w:val="11"/>
        </w:numPr>
        <w:spacing w:after="120"/>
        <w:ind w:left="714" w:hanging="357"/>
        <w:rPr>
          <w:rFonts w:ascii="Calibri" w:eastAsia="Calibri" w:hAnsi="Calibri" w:cs="Calibri"/>
          <w:sz w:val="22"/>
          <w:szCs w:val="22"/>
        </w:rPr>
      </w:pPr>
      <w:r>
        <w:rPr>
          <w:rFonts w:ascii="Calibri" w:eastAsia="Calibri" w:hAnsi="Calibri" w:cs="Calibri"/>
          <w:sz w:val="22"/>
          <w:szCs w:val="22"/>
        </w:rPr>
        <w:t>Sur la validation effective des résultats de tests de conformité</w:t>
      </w:r>
    </w:p>
    <w:p w14:paraId="5034CDC6" w14:textId="77777777" w:rsidR="00A447EE" w:rsidRDefault="00A447EE" w:rsidP="00A447EE">
      <w:pPr>
        <w:ind w:left="714"/>
        <w:rPr>
          <w:rFonts w:ascii="Calibri" w:eastAsia="Calibri" w:hAnsi="Calibri" w:cs="Calibri"/>
          <w:sz w:val="22"/>
          <w:szCs w:val="22"/>
        </w:rPr>
      </w:pPr>
      <w:r>
        <w:rPr>
          <w:rFonts w:ascii="Calibri" w:eastAsia="Calibri" w:hAnsi="Calibri" w:cs="Calibri"/>
          <w:sz w:val="22"/>
          <w:szCs w:val="22"/>
        </w:rPr>
        <w:t>Les industriels s’inscrivent dans une dynamique d’investissement portée par les impératifs d’adhésion des utilisateurs aux solutions qui leur sont proposées.</w:t>
      </w:r>
    </w:p>
    <w:p w14:paraId="14C6FD93" w14:textId="15338F5B" w:rsidR="00A447EE" w:rsidRDefault="00A447EE" w:rsidP="00A447EE">
      <w:pPr>
        <w:ind w:left="714"/>
        <w:rPr>
          <w:rFonts w:ascii="Calibri" w:eastAsia="Calibri" w:hAnsi="Calibri" w:cs="Calibri"/>
          <w:sz w:val="22"/>
          <w:szCs w:val="22"/>
        </w:rPr>
      </w:pPr>
      <w:r>
        <w:rPr>
          <w:rFonts w:ascii="Calibri" w:eastAsia="Calibri" w:hAnsi="Calibri" w:cs="Calibri"/>
          <w:sz w:val="22"/>
          <w:szCs w:val="22"/>
        </w:rPr>
        <w:t>Au-delà des nécessités d’arbitrage des sujets candidats qui doivent être guidés par les impératifs d’usages tel que mentionné ci-après, cela signifie que la validation effective de la conformité des solutions ne peut résulter que d’une phase complémentaire de tests en « vie réelle ».</w:t>
      </w:r>
    </w:p>
    <w:p w14:paraId="30FA9F4F" w14:textId="36D56512" w:rsidR="00A447EE" w:rsidRDefault="00A447EE" w:rsidP="00A447EE">
      <w:pPr>
        <w:ind w:left="714"/>
        <w:rPr>
          <w:rFonts w:ascii="Calibri" w:eastAsia="Calibri" w:hAnsi="Calibri" w:cs="Calibri"/>
          <w:sz w:val="22"/>
          <w:szCs w:val="22"/>
        </w:rPr>
      </w:pPr>
      <w:r>
        <w:rPr>
          <w:rFonts w:ascii="Calibri" w:eastAsia="Calibri" w:hAnsi="Calibri" w:cs="Calibri"/>
          <w:sz w:val="22"/>
          <w:szCs w:val="22"/>
        </w:rPr>
        <w:t>Cette phase complémentaire doit être à même de valider l’intégration de bout en bout de chacune des thématiques d’interopérabilité candidates.</w:t>
      </w:r>
    </w:p>
    <w:p w14:paraId="19BE684D" w14:textId="1D9FEE3C" w:rsidR="00A447EE" w:rsidRDefault="00334E52" w:rsidP="00A447EE">
      <w:pPr>
        <w:ind w:left="714"/>
        <w:rPr>
          <w:rFonts w:ascii="Calibri" w:eastAsia="Calibri" w:hAnsi="Calibri" w:cs="Calibri"/>
          <w:sz w:val="22"/>
          <w:szCs w:val="22"/>
        </w:rPr>
      </w:pPr>
      <w:r>
        <w:rPr>
          <w:rFonts w:ascii="Calibri" w:eastAsia="Calibri" w:hAnsi="Calibri" w:cs="Calibri"/>
          <w:noProof/>
          <w:sz w:val="22"/>
          <w:szCs w:val="22"/>
        </w:rPr>
        <w:lastRenderedPageBreak/>
        <w:drawing>
          <wp:anchor distT="0" distB="0" distL="114300" distR="114300" simplePos="0" relativeHeight="251759616" behindDoc="0" locked="0" layoutInCell="1" allowOverlap="1" wp14:anchorId="6E1F6CD5" wp14:editId="2894416F">
            <wp:simplePos x="0" y="0"/>
            <wp:positionH relativeFrom="column">
              <wp:posOffset>104433</wp:posOffset>
            </wp:positionH>
            <wp:positionV relativeFrom="paragraph">
              <wp:posOffset>94957</wp:posOffset>
            </wp:positionV>
            <wp:extent cx="228600" cy="228600"/>
            <wp:effectExtent l="25400" t="12700" r="76200" b="63500"/>
            <wp:wrapNone/>
            <wp:docPr id="35" name="Graphique 35"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Pr>
          <w:rFonts w:ascii="Calibri" w:eastAsia="Calibri" w:hAnsi="Calibri" w:cs="Calibri"/>
          <w:sz w:val="22"/>
          <w:szCs w:val="22"/>
        </w:rPr>
        <w:t>Pour se faire, il est proposé de mener ces campagnes de tests en vie réelle sous l’égide d’une région porteuse ayant valeur de représentativité nationale sur les sujets traités. La région porteus</w:t>
      </w:r>
      <w:r w:rsidR="0090282D">
        <w:rPr>
          <w:rFonts w:ascii="Calibri" w:eastAsia="Calibri" w:hAnsi="Calibri" w:cs="Calibri"/>
          <w:sz w:val="22"/>
          <w:szCs w:val="22"/>
        </w:rPr>
        <w:t>e</w:t>
      </w:r>
      <w:r w:rsidR="00A447EE">
        <w:rPr>
          <w:rFonts w:ascii="Calibri" w:eastAsia="Calibri" w:hAnsi="Calibri" w:cs="Calibri"/>
          <w:sz w:val="22"/>
          <w:szCs w:val="22"/>
        </w:rPr>
        <w:t xml:space="preserve"> sera en charge de la sélection des échantillons d’usagers auprès desquels les tests seront conduits, ainsi que du pilotage et de la coordination des actions.</w:t>
      </w:r>
      <w:r w:rsidR="0090282D">
        <w:rPr>
          <w:rFonts w:ascii="Calibri" w:eastAsia="Calibri" w:hAnsi="Calibri" w:cs="Calibri"/>
          <w:sz w:val="22"/>
          <w:szCs w:val="22"/>
        </w:rPr>
        <w:t xml:space="preserve"> </w:t>
      </w:r>
    </w:p>
    <w:p w14:paraId="38B41A34" w14:textId="77777777" w:rsidR="00A447EE" w:rsidRDefault="00A447EE" w:rsidP="00A447EE">
      <w:pPr>
        <w:spacing w:after="120"/>
        <w:ind w:left="714"/>
        <w:rPr>
          <w:rFonts w:ascii="Calibri" w:eastAsia="Calibri" w:hAnsi="Calibri" w:cs="Calibri"/>
          <w:sz w:val="22"/>
          <w:szCs w:val="22"/>
        </w:rPr>
      </w:pPr>
      <w:r>
        <w:rPr>
          <w:rFonts w:ascii="Calibri" w:eastAsia="Calibri" w:hAnsi="Calibri" w:cs="Calibri"/>
          <w:sz w:val="22"/>
          <w:szCs w:val="22"/>
        </w:rPr>
        <w:t>(Exemple de l’interopérabilité des modes d’échanges de résultats de biologie : panel de laboratoires et de prescripteurs en situation d’usage opérationnelle).</w:t>
      </w:r>
    </w:p>
    <w:p w14:paraId="705E1AA0" w14:textId="1A38E0EF" w:rsidR="00A447EE" w:rsidRDefault="00A447EE" w:rsidP="00A447EE">
      <w:pPr>
        <w:spacing w:after="120"/>
        <w:rPr>
          <w:rFonts w:ascii="Calibri" w:eastAsia="Calibri" w:hAnsi="Calibri" w:cs="Calibri"/>
          <w:sz w:val="22"/>
          <w:szCs w:val="22"/>
        </w:rPr>
      </w:pPr>
      <w:r>
        <w:rPr>
          <w:rFonts w:ascii="Calibri" w:eastAsia="Calibri" w:hAnsi="Calibri" w:cs="Calibri"/>
          <w:sz w:val="22"/>
          <w:szCs w:val="22"/>
        </w:rPr>
        <w:t>Nous considérons que ce n’est qu’au terme de ces deux phases de tests que la publication de la conformité des solutions, telle qu’envisagée par l’ASIP Santé, pourra être réalisée, dans un souci de transparence effective vis-à-vis des utilisateurs finaux.</w:t>
      </w:r>
    </w:p>
    <w:p w14:paraId="65304EE1" w14:textId="77777777" w:rsidR="00A447EE" w:rsidRDefault="00A447EE" w:rsidP="00A447EE">
      <w:pPr>
        <w:spacing w:after="120"/>
        <w:rPr>
          <w:rFonts w:ascii="Calibri" w:eastAsia="Calibri" w:hAnsi="Calibri" w:cs="Calibri"/>
          <w:sz w:val="22"/>
          <w:szCs w:val="22"/>
        </w:rPr>
      </w:pPr>
      <w:r>
        <w:rPr>
          <w:rFonts w:ascii="Calibri" w:eastAsia="Calibri" w:hAnsi="Calibri" w:cs="Calibri"/>
          <w:sz w:val="22"/>
          <w:szCs w:val="22"/>
        </w:rPr>
        <w:t>Si la FEIMA a toujours milité en faveur d’un principe d’opposabilité des référentiels d’interopérabilité, et par conséquent de la mesure effective des solutions candidates, elle souhaite que cette démarche soit la résultante d’une phase préalable de concertation qui associe les représentants des acteurs impliqués (instances nationales et territoriales, professionnels et usagers du système, industriels).</w:t>
      </w:r>
    </w:p>
    <w:p w14:paraId="094EF72B" w14:textId="77777777" w:rsidR="00A447EE" w:rsidRDefault="00A447EE" w:rsidP="00A447EE">
      <w:pPr>
        <w:spacing w:after="120"/>
        <w:rPr>
          <w:rFonts w:ascii="Calibri" w:eastAsia="Calibri" w:hAnsi="Calibri" w:cs="Calibri"/>
          <w:sz w:val="22"/>
          <w:szCs w:val="22"/>
        </w:rPr>
      </w:pPr>
      <w:r>
        <w:rPr>
          <w:rFonts w:ascii="Calibri" w:eastAsia="Calibri" w:hAnsi="Calibri" w:cs="Calibri"/>
          <w:sz w:val="22"/>
          <w:szCs w:val="22"/>
        </w:rPr>
        <w:t>Cette concertation doit pouvoir se dérouler dans le cadre du comité de concertation du CI-SIS, quitte à ce que sa composition soit adaptée pour répondre aux objectifs recherchés.</w:t>
      </w:r>
    </w:p>
    <w:p w14:paraId="356CCF8A" w14:textId="77777777" w:rsidR="00A447EE" w:rsidRPr="00914819" w:rsidRDefault="00A447EE" w:rsidP="00A447EE">
      <w:pPr>
        <w:spacing w:after="120"/>
        <w:rPr>
          <w:rFonts w:ascii="Calibri" w:eastAsia="Calibri" w:hAnsi="Calibri" w:cs="Calibri"/>
          <w:sz w:val="22"/>
          <w:szCs w:val="22"/>
        </w:rPr>
      </w:pPr>
      <w:r>
        <w:rPr>
          <w:rFonts w:ascii="Calibri" w:eastAsia="Calibri" w:hAnsi="Calibri" w:cs="Calibri"/>
          <w:sz w:val="22"/>
          <w:szCs w:val="22"/>
        </w:rPr>
        <w:t>Les actions prioritaires de ce comité doivent selon nous porter sur les aspects suivants.</w:t>
      </w:r>
    </w:p>
    <w:p w14:paraId="2A62AD56" w14:textId="77777777" w:rsidR="00A447EE" w:rsidRDefault="00A447EE" w:rsidP="00744E85">
      <w:pPr>
        <w:numPr>
          <w:ilvl w:val="0"/>
          <w:numId w:val="11"/>
        </w:numPr>
        <w:ind w:left="714" w:hanging="357"/>
        <w:rPr>
          <w:rFonts w:ascii="Calibri" w:eastAsia="Calibri" w:hAnsi="Calibri" w:cs="Calibri"/>
          <w:sz w:val="22"/>
          <w:szCs w:val="22"/>
        </w:rPr>
      </w:pPr>
      <w:r>
        <w:rPr>
          <w:rFonts w:ascii="Calibri" w:eastAsia="Calibri" w:hAnsi="Calibri" w:cs="Calibri"/>
          <w:sz w:val="22"/>
          <w:szCs w:val="22"/>
        </w:rPr>
        <w:t>Valider les chantiers prioritaires à engager (la FEIMA a fourni une liste des sujets qui lui paraissent devoir faire l’objet d’une mobilisation de l’ensemble des acteurs concernés, par ordre de priorités) et la feuille de route prévisionnelle (trajectoire, étapes, calendrier).</w:t>
      </w:r>
    </w:p>
    <w:p w14:paraId="26A08BAB" w14:textId="77777777" w:rsidR="00A447EE" w:rsidRDefault="00A447EE" w:rsidP="00744E85">
      <w:pPr>
        <w:numPr>
          <w:ilvl w:val="0"/>
          <w:numId w:val="11"/>
        </w:numPr>
        <w:ind w:left="714" w:hanging="357"/>
        <w:rPr>
          <w:rFonts w:ascii="Calibri" w:eastAsia="Calibri" w:hAnsi="Calibri" w:cs="Calibri"/>
          <w:sz w:val="22"/>
          <w:szCs w:val="22"/>
        </w:rPr>
      </w:pPr>
      <w:r>
        <w:rPr>
          <w:rFonts w:ascii="Calibri" w:eastAsia="Calibri" w:hAnsi="Calibri" w:cs="Calibri"/>
          <w:sz w:val="22"/>
          <w:szCs w:val="22"/>
        </w:rPr>
        <w:t>Valider les modalités de mesure de conformité et les travaux à lancer pour en assurer l’effectivité (jeux de tests, schématrons, jeux de nomenclatures, …).</w:t>
      </w:r>
    </w:p>
    <w:p w14:paraId="781AE746" w14:textId="77777777" w:rsidR="00A447EE" w:rsidRDefault="00A447EE" w:rsidP="00744E85">
      <w:pPr>
        <w:numPr>
          <w:ilvl w:val="0"/>
          <w:numId w:val="11"/>
        </w:numPr>
        <w:ind w:left="714" w:hanging="357"/>
        <w:rPr>
          <w:rFonts w:ascii="Calibri" w:eastAsia="Calibri" w:hAnsi="Calibri" w:cs="Calibri"/>
          <w:sz w:val="22"/>
          <w:szCs w:val="22"/>
        </w:rPr>
      </w:pPr>
      <w:r>
        <w:rPr>
          <w:rFonts w:ascii="Calibri" w:eastAsia="Calibri" w:hAnsi="Calibri" w:cs="Calibri"/>
          <w:sz w:val="22"/>
          <w:szCs w:val="22"/>
        </w:rPr>
        <w:t xml:space="preserve">Valider les modalités d’opposabilité des référentiels d’interopérabilité résultant d’un consensus au sein des membres du comité. </w:t>
      </w:r>
      <w:r>
        <w:rPr>
          <w:rFonts w:ascii="Calibri" w:eastAsia="Calibri" w:hAnsi="Calibri" w:cs="Calibri"/>
          <w:sz w:val="22"/>
          <w:szCs w:val="22"/>
        </w:rPr>
        <w:br/>
        <w:t>Il nous semble nécessaire d’adapter les dispositions à prendre en matière d’opposabilité en fonction des différentes thématiques traitées. A cet égard, les critères qui nous paraissent pertinents sont : la contribution de chaque sujet à l’atteinte des objectifs prioritaires nationaux, leur réponse aux attentes exprimées par les usagers, leur degré de maturité (nombre de sujets sont au milieu de gué par défaut de mobilisation collective sur les dernières étapes à franchir : MSS, résultats d’examens de biologie, VSM, … et doivent de notre point de vue faire l’objet d’une réelle opposabilité, seule à même d’engendrer une mobilisation exhaustive).</w:t>
      </w:r>
    </w:p>
    <w:p w14:paraId="3B276590" w14:textId="77777777" w:rsidR="00A447EE" w:rsidRDefault="00A447EE" w:rsidP="00744E85">
      <w:pPr>
        <w:numPr>
          <w:ilvl w:val="0"/>
          <w:numId w:val="11"/>
        </w:numPr>
        <w:ind w:left="714" w:hanging="357"/>
        <w:rPr>
          <w:rFonts w:ascii="Calibri" w:eastAsia="Calibri" w:hAnsi="Calibri" w:cs="Calibri"/>
          <w:sz w:val="22"/>
          <w:szCs w:val="22"/>
        </w:rPr>
      </w:pPr>
      <w:r>
        <w:rPr>
          <w:rFonts w:ascii="Calibri" w:eastAsia="Calibri" w:hAnsi="Calibri" w:cs="Calibri"/>
          <w:sz w:val="22"/>
          <w:szCs w:val="22"/>
        </w:rPr>
        <w:t>Mettre en place les groupes d’experts sur chacune des thématiques validées.</w:t>
      </w:r>
    </w:p>
    <w:p w14:paraId="717005F9" w14:textId="77777777" w:rsidR="00A447EE" w:rsidRDefault="00A447EE" w:rsidP="00744E85">
      <w:pPr>
        <w:numPr>
          <w:ilvl w:val="0"/>
          <w:numId w:val="11"/>
        </w:numPr>
        <w:ind w:left="714" w:hanging="357"/>
        <w:rPr>
          <w:rFonts w:ascii="Calibri" w:eastAsia="Calibri" w:hAnsi="Calibri" w:cs="Calibri"/>
          <w:sz w:val="22"/>
          <w:szCs w:val="22"/>
        </w:rPr>
      </w:pPr>
      <w:r>
        <w:rPr>
          <w:rFonts w:ascii="Calibri" w:eastAsia="Calibri" w:hAnsi="Calibri" w:cs="Calibri"/>
          <w:sz w:val="22"/>
          <w:szCs w:val="22"/>
        </w:rPr>
        <w:t>Sélectionner les régions candidates pour mener à bien les tests en vie réelle.</w:t>
      </w:r>
    </w:p>
    <w:p w14:paraId="71A2184A" w14:textId="6B6E0C2B" w:rsidR="0090282D" w:rsidRDefault="00A447EE" w:rsidP="00744E85">
      <w:pPr>
        <w:numPr>
          <w:ilvl w:val="0"/>
          <w:numId w:val="11"/>
        </w:numPr>
        <w:ind w:left="714" w:hanging="357"/>
        <w:rPr>
          <w:rFonts w:ascii="Calibri" w:eastAsia="Calibri" w:hAnsi="Calibri" w:cs="Calibri"/>
          <w:sz w:val="22"/>
          <w:szCs w:val="22"/>
        </w:rPr>
      </w:pPr>
      <w:r>
        <w:rPr>
          <w:rFonts w:ascii="Calibri" w:eastAsia="Calibri" w:hAnsi="Calibri" w:cs="Calibri"/>
          <w:sz w:val="22"/>
          <w:szCs w:val="22"/>
        </w:rPr>
        <w:t>Lancer la mobilisation des acteurs industriels par le canal des fédérations représentatives et des usagers testeurs par le canal des régions sélectionnées.</w:t>
      </w:r>
    </w:p>
    <w:p w14:paraId="728AD261" w14:textId="1319F430" w:rsidR="00A447EE" w:rsidRDefault="00A447EE" w:rsidP="00A447EE">
      <w:pPr>
        <w:spacing w:after="240"/>
        <w:ind w:left="360"/>
        <w:rPr>
          <w:rFonts w:ascii="Calibri" w:eastAsia="Calibri" w:hAnsi="Calibri" w:cs="Calibri"/>
          <w:sz w:val="22"/>
          <w:szCs w:val="22"/>
        </w:rPr>
      </w:pPr>
    </w:p>
    <w:p w14:paraId="52B5CB0C" w14:textId="5A9F0B60" w:rsidR="00A447EE" w:rsidRDefault="00A447EE" w:rsidP="00A447EE">
      <w:pPr>
        <w:ind w:firstLine="567"/>
        <w:rPr>
          <w:rFonts w:ascii="Calibri" w:eastAsia="Calibri" w:hAnsi="Calibri" w:cs="Calibri"/>
          <w:sz w:val="22"/>
          <w:szCs w:val="22"/>
        </w:rPr>
      </w:pPr>
      <w:r>
        <w:rPr>
          <w:rFonts w:ascii="Calibri" w:eastAsia="Calibri" w:hAnsi="Calibri" w:cs="Calibri"/>
          <w:sz w:val="22"/>
          <w:szCs w:val="22"/>
        </w:rPr>
        <w:t>Point de vigilance 1</w:t>
      </w:r>
    </w:p>
    <w:p w14:paraId="233B7649" w14:textId="228449BA" w:rsidR="00A447EE" w:rsidRDefault="00334E52" w:rsidP="0090282D">
      <w:pPr>
        <w:spacing w:after="240"/>
        <w:ind w:left="567"/>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61664" behindDoc="0" locked="0" layoutInCell="1" allowOverlap="1" wp14:anchorId="480D34F8" wp14:editId="5AA5D8CD">
            <wp:simplePos x="0" y="0"/>
            <wp:positionH relativeFrom="column">
              <wp:posOffset>91343</wp:posOffset>
            </wp:positionH>
            <wp:positionV relativeFrom="paragraph">
              <wp:posOffset>12700</wp:posOffset>
            </wp:positionV>
            <wp:extent cx="228600" cy="228600"/>
            <wp:effectExtent l="25400" t="12700" r="76200" b="63500"/>
            <wp:wrapNone/>
            <wp:docPr id="36" name="Graphique 36"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Pr>
          <w:rFonts w:ascii="Calibri" w:eastAsia="Calibri" w:hAnsi="Calibri" w:cs="Calibri"/>
          <w:sz w:val="22"/>
          <w:szCs w:val="22"/>
        </w:rPr>
        <w:t>Considérer les organisations régionales porteuses de services numériques en propre (GRADEs) sur un pied d’égalité avec les industriels. Disposition devant se traduire par la soumission des services portés aux mêmes exigences de mesure de conformité vis-à-vis des référentiels.</w:t>
      </w:r>
    </w:p>
    <w:p w14:paraId="3B3589B7" w14:textId="3A55220C" w:rsidR="00A447EE" w:rsidRDefault="00334E52" w:rsidP="00A447EE">
      <w:pPr>
        <w:ind w:firstLine="567"/>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63712" behindDoc="0" locked="0" layoutInCell="1" allowOverlap="1" wp14:anchorId="6F080837" wp14:editId="45D2FDF3">
            <wp:simplePos x="0" y="0"/>
            <wp:positionH relativeFrom="column">
              <wp:posOffset>78153</wp:posOffset>
            </wp:positionH>
            <wp:positionV relativeFrom="paragraph">
              <wp:posOffset>143950</wp:posOffset>
            </wp:positionV>
            <wp:extent cx="228600" cy="228600"/>
            <wp:effectExtent l="25400" t="12700" r="76200" b="63500"/>
            <wp:wrapNone/>
            <wp:docPr id="37" name="Graphique 3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Pr>
          <w:rFonts w:ascii="Calibri" w:eastAsia="Calibri" w:hAnsi="Calibri" w:cs="Calibri"/>
          <w:sz w:val="22"/>
          <w:szCs w:val="22"/>
        </w:rPr>
        <w:t>Point de vigilance 2</w:t>
      </w:r>
    </w:p>
    <w:p w14:paraId="0FF0F7FE" w14:textId="44C26ED7" w:rsidR="00A447EE" w:rsidRDefault="00A447EE" w:rsidP="0090282D">
      <w:pPr>
        <w:spacing w:after="240"/>
        <w:ind w:left="567"/>
        <w:rPr>
          <w:rFonts w:ascii="Calibri" w:eastAsia="Calibri" w:hAnsi="Calibri" w:cs="Calibri"/>
          <w:sz w:val="22"/>
          <w:szCs w:val="22"/>
        </w:rPr>
      </w:pPr>
      <w:r>
        <w:rPr>
          <w:rFonts w:ascii="Calibri" w:eastAsia="Calibri" w:hAnsi="Calibri" w:cs="Calibri"/>
          <w:sz w:val="22"/>
          <w:szCs w:val="22"/>
        </w:rPr>
        <w:t>Lancer les travaux règlementaires permettant d’engager la démarche d’opposabilité des référentiels d’interopérabilité.</w:t>
      </w:r>
    </w:p>
    <w:p w14:paraId="2A667BD4" w14:textId="28695396" w:rsidR="00A447EE" w:rsidRDefault="00334E52" w:rsidP="00A447EE">
      <w:pPr>
        <w:ind w:firstLine="567"/>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65760" behindDoc="0" locked="0" layoutInCell="1" allowOverlap="1" wp14:anchorId="6BB870D7" wp14:editId="595AAAC4">
            <wp:simplePos x="0" y="0"/>
            <wp:positionH relativeFrom="column">
              <wp:posOffset>79131</wp:posOffset>
            </wp:positionH>
            <wp:positionV relativeFrom="paragraph">
              <wp:posOffset>162169</wp:posOffset>
            </wp:positionV>
            <wp:extent cx="228600" cy="228600"/>
            <wp:effectExtent l="25400" t="12700" r="76200" b="63500"/>
            <wp:wrapNone/>
            <wp:docPr id="38" name="Graphique 3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Pr>
          <w:rFonts w:ascii="Calibri" w:eastAsia="Calibri" w:hAnsi="Calibri" w:cs="Calibri"/>
          <w:sz w:val="22"/>
          <w:szCs w:val="22"/>
        </w:rPr>
        <w:t>Point de vigilance 3</w:t>
      </w:r>
    </w:p>
    <w:p w14:paraId="38A94277" w14:textId="39D117C2" w:rsidR="00A447EE" w:rsidRDefault="00A447EE" w:rsidP="0090282D">
      <w:pPr>
        <w:spacing w:after="240"/>
        <w:ind w:left="567"/>
        <w:rPr>
          <w:rFonts w:ascii="Calibri" w:eastAsia="Calibri" w:hAnsi="Calibri" w:cs="Calibri"/>
          <w:sz w:val="22"/>
          <w:szCs w:val="22"/>
        </w:rPr>
      </w:pPr>
      <w:r>
        <w:rPr>
          <w:rFonts w:ascii="Calibri" w:eastAsia="Calibri" w:hAnsi="Calibri" w:cs="Calibri"/>
          <w:sz w:val="22"/>
          <w:szCs w:val="22"/>
        </w:rPr>
        <w:t>Mettre en place l’organisation en charge de la gestion du SMT et le dispositif de gouvernance associé.</w:t>
      </w:r>
    </w:p>
    <w:p w14:paraId="67ED3657" w14:textId="77777777" w:rsidR="00353B16" w:rsidRDefault="00353B16" w:rsidP="00A447EE">
      <w:pPr>
        <w:ind w:firstLine="567"/>
        <w:rPr>
          <w:rFonts w:ascii="Calibri" w:eastAsia="Calibri" w:hAnsi="Calibri" w:cs="Calibri"/>
          <w:sz w:val="22"/>
          <w:szCs w:val="22"/>
        </w:rPr>
      </w:pPr>
    </w:p>
    <w:p w14:paraId="5051B8B4" w14:textId="77777777" w:rsidR="00353B16" w:rsidRDefault="00353B16" w:rsidP="00A447EE">
      <w:pPr>
        <w:ind w:firstLine="567"/>
        <w:rPr>
          <w:rFonts w:ascii="Calibri" w:eastAsia="Calibri" w:hAnsi="Calibri" w:cs="Calibri"/>
          <w:sz w:val="22"/>
          <w:szCs w:val="22"/>
        </w:rPr>
      </w:pPr>
    </w:p>
    <w:p w14:paraId="5067AFE3" w14:textId="124A880B" w:rsidR="00A447EE" w:rsidRDefault="00A447EE" w:rsidP="00A447EE">
      <w:pPr>
        <w:ind w:firstLine="567"/>
        <w:rPr>
          <w:rFonts w:ascii="Calibri" w:eastAsia="Calibri" w:hAnsi="Calibri" w:cs="Calibri"/>
          <w:sz w:val="22"/>
          <w:szCs w:val="22"/>
        </w:rPr>
      </w:pPr>
      <w:r>
        <w:rPr>
          <w:rFonts w:ascii="Calibri" w:eastAsia="Calibri" w:hAnsi="Calibri" w:cs="Calibri"/>
          <w:sz w:val="22"/>
          <w:szCs w:val="22"/>
        </w:rPr>
        <w:lastRenderedPageBreak/>
        <w:t>Point de vigilance 4</w:t>
      </w:r>
    </w:p>
    <w:p w14:paraId="2AB215E1" w14:textId="3C53C930" w:rsidR="00691002" w:rsidRDefault="00334E52" w:rsidP="00C94983">
      <w:pPr>
        <w:spacing w:after="240"/>
        <w:ind w:left="567"/>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67808" behindDoc="0" locked="0" layoutInCell="1" allowOverlap="1" wp14:anchorId="401616A3" wp14:editId="3A844FA1">
            <wp:simplePos x="0" y="0"/>
            <wp:positionH relativeFrom="column">
              <wp:posOffset>79131</wp:posOffset>
            </wp:positionH>
            <wp:positionV relativeFrom="paragraph">
              <wp:posOffset>73611</wp:posOffset>
            </wp:positionV>
            <wp:extent cx="228600" cy="228600"/>
            <wp:effectExtent l="25400" t="12700" r="76200" b="63500"/>
            <wp:wrapNone/>
            <wp:docPr id="39" name="Graphique 3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447EE" w:rsidRPr="00914819">
        <w:rPr>
          <w:rFonts w:ascii="Calibri" w:eastAsia="Calibri" w:hAnsi="Calibri" w:cs="Calibri"/>
          <w:sz w:val="22"/>
          <w:szCs w:val="22"/>
        </w:rPr>
        <w:t>Après recensement des différentes plateformes de services (nationales et territoriales), définir un schéma d’urbanisation cohérent guidé par la différenciation des services portés au bénéfice d’usages ciblés.</w:t>
      </w:r>
      <w:r w:rsidR="00A447EE" w:rsidRPr="00914819">
        <w:rPr>
          <w:rFonts w:ascii="Calibri" w:eastAsia="Calibri" w:hAnsi="Calibri" w:cs="Calibri"/>
          <w:sz w:val="22"/>
          <w:szCs w:val="22"/>
        </w:rPr>
        <w:br/>
        <w:t>Prendre tous arbitrages nécessaire</w:t>
      </w:r>
      <w:r w:rsidR="00A447EE">
        <w:rPr>
          <w:rFonts w:ascii="Calibri" w:eastAsia="Calibri" w:hAnsi="Calibri" w:cs="Calibri"/>
          <w:sz w:val="22"/>
          <w:szCs w:val="22"/>
        </w:rPr>
        <w:t>s</w:t>
      </w:r>
      <w:r w:rsidR="00A447EE" w:rsidRPr="00914819">
        <w:rPr>
          <w:rFonts w:ascii="Calibri" w:eastAsia="Calibri" w:hAnsi="Calibri" w:cs="Calibri"/>
          <w:sz w:val="22"/>
          <w:szCs w:val="22"/>
        </w:rPr>
        <w:t xml:space="preserve"> à la convergence de ces plateformes vers les orientations issues du schéma d’urbanisation défini.</w:t>
      </w:r>
      <w:r w:rsidR="00691002">
        <w:rPr>
          <w:rFonts w:ascii="Calibri" w:eastAsia="Calibri" w:hAnsi="Calibri" w:cs="Calibri"/>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141CF4" w:rsidRPr="00245C0F" w14:paraId="3DA59BCF" w14:textId="77777777" w:rsidTr="00F557C7">
        <w:tc>
          <w:tcPr>
            <w:tcW w:w="9628" w:type="dxa"/>
            <w:shd w:val="clear" w:color="auto" w:fill="0081A2"/>
          </w:tcPr>
          <w:p w14:paraId="45928196" w14:textId="77777777" w:rsidR="00141CF4" w:rsidRPr="00245C0F" w:rsidRDefault="00141CF4" w:rsidP="00F557C7">
            <w:pPr>
              <w:jc w:val="center"/>
              <w:rPr>
                <w:rFonts w:ascii="Raleway" w:hAnsi="Raleway"/>
              </w:rPr>
            </w:pPr>
          </w:p>
          <w:p w14:paraId="2082312F" w14:textId="5EB9B659" w:rsidR="00141CF4" w:rsidRPr="00245C0F" w:rsidRDefault="00141CF4" w:rsidP="00F557C7">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Sécurité des systèmes d’information</w:t>
            </w:r>
          </w:p>
        </w:tc>
      </w:tr>
      <w:tr w:rsidR="00141CF4" w:rsidRPr="00245C0F" w14:paraId="4DB8F9DB" w14:textId="77777777" w:rsidTr="00F557C7">
        <w:tc>
          <w:tcPr>
            <w:tcW w:w="9628" w:type="dxa"/>
            <w:shd w:val="clear" w:color="auto" w:fill="0081A2"/>
          </w:tcPr>
          <w:p w14:paraId="155735D5" w14:textId="77777777" w:rsidR="00141CF4" w:rsidRPr="00245C0F" w:rsidRDefault="00141CF4" w:rsidP="00F557C7">
            <w:pPr>
              <w:pStyle w:val="Corps"/>
              <w:rPr>
                <w:rFonts w:ascii="Raleway" w:hAnsi="Raleway"/>
              </w:rPr>
            </w:pPr>
          </w:p>
        </w:tc>
      </w:tr>
    </w:tbl>
    <w:p w14:paraId="0BD66CBF" w14:textId="3C169AED" w:rsidR="00691002" w:rsidRDefault="00691002" w:rsidP="00914819">
      <w:pPr>
        <w:rPr>
          <w:rFonts w:ascii="Calibri" w:eastAsia="Calibri" w:hAnsi="Calibri" w:cs="Calibri"/>
          <w:sz w:val="22"/>
          <w:szCs w:val="22"/>
        </w:rPr>
      </w:pPr>
    </w:p>
    <w:p w14:paraId="4A425123" w14:textId="38A7C0F6" w:rsidR="00691002" w:rsidRDefault="00691002" w:rsidP="00914819">
      <w:pPr>
        <w:rPr>
          <w:rFonts w:ascii="Calibri" w:eastAsia="Calibri" w:hAnsi="Calibri" w:cs="Calibri"/>
          <w:sz w:val="22"/>
          <w:szCs w:val="22"/>
        </w:rPr>
      </w:pPr>
    </w:p>
    <w:p w14:paraId="16A27A82" w14:textId="4ECCD9E0" w:rsidR="00386A55" w:rsidRDefault="00406FFB" w:rsidP="00914819">
      <w:pPr>
        <w:rPr>
          <w:rFonts w:ascii="Calibri" w:eastAsia="Calibri" w:hAnsi="Calibri" w:cs="Calibri"/>
          <w:sz w:val="22"/>
          <w:szCs w:val="22"/>
        </w:rPr>
      </w:pPr>
      <w:r>
        <w:rPr>
          <w:rFonts w:ascii="Calibri" w:eastAsia="Calibri" w:hAnsi="Calibri" w:cs="Calibri"/>
          <w:sz w:val="22"/>
          <w:szCs w:val="22"/>
        </w:rPr>
        <w:t xml:space="preserve">La FEIMA, au même titre que d’autres représentants industriels, a participé activement au dispositif de concertation ayant donné lieu à l’élaboration de la PGSSI-S. Cette contribution a </w:t>
      </w:r>
      <w:r w:rsidR="001D1DE1">
        <w:rPr>
          <w:rFonts w:ascii="Calibri" w:eastAsia="Calibri" w:hAnsi="Calibri" w:cs="Calibri"/>
          <w:sz w:val="22"/>
          <w:szCs w:val="22"/>
        </w:rPr>
        <w:t xml:space="preserve">notamment </w:t>
      </w:r>
      <w:r>
        <w:rPr>
          <w:rFonts w:ascii="Calibri" w:eastAsia="Calibri" w:hAnsi="Calibri" w:cs="Calibri"/>
          <w:sz w:val="22"/>
          <w:szCs w:val="22"/>
        </w:rPr>
        <w:t xml:space="preserve">permis </w:t>
      </w:r>
      <w:r w:rsidR="001D1DE1">
        <w:rPr>
          <w:rFonts w:ascii="Calibri" w:eastAsia="Calibri" w:hAnsi="Calibri" w:cs="Calibri"/>
          <w:sz w:val="22"/>
          <w:szCs w:val="22"/>
        </w:rPr>
        <w:t>de prendre en compte les réalités opérationnelles de terrain auxquelles nous sommes confrontés afin de produire un cadre de référence pragmatique.</w:t>
      </w:r>
    </w:p>
    <w:p w14:paraId="23CF3C65" w14:textId="604CB63F" w:rsidR="001D1DE1" w:rsidRDefault="001D1DE1" w:rsidP="00914819">
      <w:pPr>
        <w:rPr>
          <w:rFonts w:ascii="Calibri" w:eastAsia="Calibri" w:hAnsi="Calibri" w:cs="Calibri"/>
          <w:sz w:val="22"/>
          <w:szCs w:val="22"/>
        </w:rPr>
      </w:pPr>
    </w:p>
    <w:p w14:paraId="79F87AA1" w14:textId="197FA924" w:rsidR="001D1DE1" w:rsidRDefault="001D1DE1" w:rsidP="00914819">
      <w:pPr>
        <w:rPr>
          <w:rFonts w:ascii="Calibri" w:eastAsia="Calibri" w:hAnsi="Calibri" w:cs="Calibri"/>
          <w:sz w:val="22"/>
          <w:szCs w:val="22"/>
        </w:rPr>
      </w:pPr>
      <w:r>
        <w:rPr>
          <w:rFonts w:ascii="Calibri" w:eastAsia="Calibri" w:hAnsi="Calibri" w:cs="Calibri"/>
          <w:sz w:val="22"/>
          <w:szCs w:val="22"/>
        </w:rPr>
        <w:t>Nous souhaitons bien entendu poursuivre cette participation active à travers une représentation au sein du comité de concertation ainsi qu’à travers la mobilisation d’experts au sein des groupes de travail.</w:t>
      </w:r>
    </w:p>
    <w:p w14:paraId="518897B4" w14:textId="0030B521" w:rsidR="001D1DE1" w:rsidRDefault="001D1DE1" w:rsidP="00914819">
      <w:pPr>
        <w:rPr>
          <w:rFonts w:ascii="Calibri" w:eastAsia="Calibri" w:hAnsi="Calibri" w:cs="Calibri"/>
          <w:sz w:val="22"/>
          <w:szCs w:val="22"/>
        </w:rPr>
      </w:pPr>
    </w:p>
    <w:p w14:paraId="67A15335" w14:textId="5936B023" w:rsidR="001D1DE1" w:rsidRDefault="00B475E9" w:rsidP="00914819">
      <w:pPr>
        <w:rPr>
          <w:rFonts w:ascii="Calibri" w:eastAsia="Calibri" w:hAnsi="Calibri" w:cs="Calibri"/>
          <w:sz w:val="22"/>
          <w:szCs w:val="22"/>
        </w:rPr>
      </w:pPr>
      <w:r>
        <w:rPr>
          <w:rFonts w:ascii="Calibri" w:eastAsia="Calibri" w:hAnsi="Calibri" w:cs="Calibri"/>
          <w:sz w:val="22"/>
          <w:szCs w:val="22"/>
        </w:rPr>
        <w:t>Sur la question de l’opposabilité des référentiels de sécurité, nous considérons que la limitation formulée à l’égard du champ d’application aux seuls services numériques financés sur fonds publics est trop restrictive.</w:t>
      </w:r>
    </w:p>
    <w:p w14:paraId="22101EA9" w14:textId="6992F8E1" w:rsidR="00B475E9" w:rsidRDefault="00B475E9" w:rsidP="00914819">
      <w:pPr>
        <w:rPr>
          <w:rFonts w:ascii="Calibri" w:eastAsia="Calibri" w:hAnsi="Calibri" w:cs="Calibri"/>
          <w:sz w:val="22"/>
          <w:szCs w:val="22"/>
        </w:rPr>
      </w:pPr>
      <w:r>
        <w:rPr>
          <w:rFonts w:ascii="Calibri" w:eastAsia="Calibri" w:hAnsi="Calibri" w:cs="Calibri"/>
          <w:sz w:val="22"/>
          <w:szCs w:val="22"/>
        </w:rPr>
        <w:t>Eu égard aux problèmes sécuritaires croissants constatés sur les systèmes d’information dans le domaine de la santé, nous souhaitons que l’opposabilité soit appliquée à l’ensemble des acteurs porteurs de services numériques.</w:t>
      </w:r>
    </w:p>
    <w:p w14:paraId="4662BEB5" w14:textId="3CAB5CC8" w:rsidR="00B475E9" w:rsidRDefault="00E77AD0" w:rsidP="00914819">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69856" behindDoc="0" locked="0" layoutInCell="1" allowOverlap="1" wp14:anchorId="15132AA4" wp14:editId="649D0140">
            <wp:simplePos x="0" y="0"/>
            <wp:positionH relativeFrom="column">
              <wp:posOffset>-245647</wp:posOffset>
            </wp:positionH>
            <wp:positionV relativeFrom="paragraph">
              <wp:posOffset>82550</wp:posOffset>
            </wp:positionV>
            <wp:extent cx="228600" cy="228600"/>
            <wp:effectExtent l="25400" t="12700" r="76200" b="63500"/>
            <wp:wrapNone/>
            <wp:docPr id="40" name="Graphique 40"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75E9">
        <w:rPr>
          <w:rFonts w:ascii="Calibri" w:eastAsia="Calibri" w:hAnsi="Calibri" w:cs="Calibri"/>
          <w:sz w:val="22"/>
          <w:szCs w:val="22"/>
        </w:rPr>
        <w:t xml:space="preserve">Positionnée sur le secteur ambulatoire, la FEIMA est consciente des difficultés de sensibilisation </w:t>
      </w:r>
      <w:r w:rsidR="00BB21D5">
        <w:rPr>
          <w:rFonts w:ascii="Calibri" w:eastAsia="Calibri" w:hAnsi="Calibri" w:cs="Calibri"/>
          <w:sz w:val="22"/>
          <w:szCs w:val="22"/>
        </w:rPr>
        <w:t xml:space="preserve">et de mobilisation </w:t>
      </w:r>
      <w:r w:rsidR="00B475E9">
        <w:rPr>
          <w:rFonts w:ascii="Calibri" w:eastAsia="Calibri" w:hAnsi="Calibri" w:cs="Calibri"/>
          <w:sz w:val="22"/>
          <w:szCs w:val="22"/>
        </w:rPr>
        <w:t xml:space="preserve">des professionnels </w:t>
      </w:r>
      <w:r w:rsidR="00BB21D5">
        <w:rPr>
          <w:rFonts w:ascii="Calibri" w:eastAsia="Calibri" w:hAnsi="Calibri" w:cs="Calibri"/>
          <w:sz w:val="22"/>
          <w:szCs w:val="22"/>
        </w:rPr>
        <w:t>qu’elle équipe. L’application de mesures d’opposabilité, au-delà de son caractère vertueux à l’égard des fournisseurs de services numériques, permettrait d’appuyer les démarches que nous menons auprès des professionnels pour qu’ils se conforment aux exigences sécuritaires.</w:t>
      </w:r>
    </w:p>
    <w:p w14:paraId="65BF277F" w14:textId="03CF1F73" w:rsidR="00406FFB" w:rsidRDefault="00BB21D5" w:rsidP="00914819">
      <w:pPr>
        <w:rPr>
          <w:rFonts w:ascii="Calibri" w:eastAsia="Calibri" w:hAnsi="Calibri" w:cs="Calibri"/>
          <w:sz w:val="22"/>
          <w:szCs w:val="22"/>
        </w:rPr>
      </w:pPr>
      <w:r>
        <w:rPr>
          <w:rFonts w:ascii="Calibri" w:eastAsia="Calibri" w:hAnsi="Calibri" w:cs="Calibri"/>
          <w:sz w:val="22"/>
          <w:szCs w:val="22"/>
        </w:rPr>
        <w:t>La démarche menée sur le périmètre de l’hébergement de données de santé a démontré les effets positifs de l’approche que nous défendons.</w:t>
      </w:r>
    </w:p>
    <w:p w14:paraId="7B0B79AC" w14:textId="77777777" w:rsidR="00386A55" w:rsidRDefault="00386A55" w:rsidP="00914819">
      <w:pPr>
        <w:rPr>
          <w:rFonts w:ascii="Calibri" w:eastAsia="Calibri" w:hAnsi="Calibri" w:cs="Calibri"/>
          <w:sz w:val="22"/>
          <w:szCs w:val="22"/>
        </w:rPr>
      </w:pPr>
    </w:p>
    <w:p w14:paraId="51601E90" w14:textId="31E5270E" w:rsidR="00691002" w:rsidRDefault="00E77AD0" w:rsidP="00914819">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71904" behindDoc="0" locked="0" layoutInCell="1" allowOverlap="1" wp14:anchorId="3F181037" wp14:editId="049554EB">
            <wp:simplePos x="0" y="0"/>
            <wp:positionH relativeFrom="column">
              <wp:posOffset>-245647</wp:posOffset>
            </wp:positionH>
            <wp:positionV relativeFrom="paragraph">
              <wp:posOffset>135255</wp:posOffset>
            </wp:positionV>
            <wp:extent cx="228600" cy="228600"/>
            <wp:effectExtent l="25400" t="12700" r="76200" b="63500"/>
            <wp:wrapNone/>
            <wp:docPr id="41" name="Graphique 4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A1258">
        <w:rPr>
          <w:rFonts w:ascii="Calibri" w:eastAsia="Calibri" w:hAnsi="Calibri" w:cs="Calibri"/>
          <w:sz w:val="22"/>
          <w:szCs w:val="22"/>
        </w:rPr>
        <w:t>Dispositif de déclaration des incidents</w:t>
      </w:r>
      <w:r w:rsidR="00697935">
        <w:rPr>
          <w:rFonts w:ascii="Calibri" w:eastAsia="Calibri" w:hAnsi="Calibri" w:cs="Calibri"/>
          <w:sz w:val="22"/>
          <w:szCs w:val="22"/>
        </w:rPr>
        <w:t xml:space="preserve"> – observatoire des incidents</w:t>
      </w:r>
    </w:p>
    <w:p w14:paraId="49D61572" w14:textId="358A97E9" w:rsidR="00697935" w:rsidRDefault="00697935" w:rsidP="00914819">
      <w:pPr>
        <w:rPr>
          <w:rFonts w:ascii="Calibri" w:eastAsia="Calibri" w:hAnsi="Calibri" w:cs="Calibri"/>
          <w:sz w:val="22"/>
          <w:szCs w:val="22"/>
        </w:rPr>
      </w:pPr>
      <w:r>
        <w:rPr>
          <w:rFonts w:ascii="Calibri" w:eastAsia="Calibri" w:hAnsi="Calibri" w:cs="Calibri"/>
          <w:sz w:val="22"/>
          <w:szCs w:val="22"/>
        </w:rPr>
        <w:t xml:space="preserve">Si nous avons pleinement conscience du caractère particulièrement sensible des menaces à l’encontre des services nationaux et des établissements sanitaires et médico-sociaux, nous souhaitons que les professionnels du premier recours soient concernés au même titre et par conséquent </w:t>
      </w:r>
      <w:r w:rsidR="00B0033A">
        <w:rPr>
          <w:rFonts w:ascii="Calibri" w:eastAsia="Calibri" w:hAnsi="Calibri" w:cs="Calibri"/>
          <w:sz w:val="22"/>
          <w:szCs w:val="22"/>
        </w:rPr>
        <w:t xml:space="preserve">puissent être </w:t>
      </w:r>
      <w:r>
        <w:rPr>
          <w:rFonts w:ascii="Calibri" w:eastAsia="Calibri" w:hAnsi="Calibri" w:cs="Calibri"/>
          <w:sz w:val="22"/>
          <w:szCs w:val="22"/>
        </w:rPr>
        <w:t>intégrés dans les extensions envisagées dans la trajectoire.</w:t>
      </w:r>
    </w:p>
    <w:p w14:paraId="20F29FEF" w14:textId="1CD29C75" w:rsidR="00B0033A" w:rsidRDefault="004F4DCE" w:rsidP="00914819">
      <w:pPr>
        <w:rPr>
          <w:rFonts w:ascii="Calibri" w:eastAsia="Calibri" w:hAnsi="Calibri" w:cs="Calibri"/>
          <w:sz w:val="22"/>
          <w:szCs w:val="22"/>
        </w:rPr>
      </w:pPr>
      <w:r>
        <w:rPr>
          <w:rFonts w:ascii="Calibri" w:eastAsia="Calibri" w:hAnsi="Calibri" w:cs="Calibri"/>
          <w:sz w:val="22"/>
          <w:szCs w:val="22"/>
        </w:rPr>
        <w:t>Le décloisonnement croissant des services, le développement de l’échange et du partage d’informations</w:t>
      </w:r>
      <w:r w:rsidR="001017FC">
        <w:rPr>
          <w:rFonts w:ascii="Calibri" w:eastAsia="Calibri" w:hAnsi="Calibri" w:cs="Calibri"/>
          <w:sz w:val="22"/>
          <w:szCs w:val="22"/>
        </w:rPr>
        <w:t xml:space="preserve"> légitiment cette demande.</w:t>
      </w:r>
    </w:p>
    <w:p w14:paraId="533CCC94" w14:textId="77777777" w:rsidR="00B0033A" w:rsidRDefault="00B0033A" w:rsidP="00914819">
      <w:pPr>
        <w:rPr>
          <w:rFonts w:ascii="Calibri" w:eastAsia="Calibri" w:hAnsi="Calibri" w:cs="Calibri"/>
          <w:sz w:val="22"/>
          <w:szCs w:val="22"/>
        </w:rPr>
      </w:pPr>
    </w:p>
    <w:p w14:paraId="23DB03E6" w14:textId="03BD7A9E" w:rsidR="00386A55" w:rsidRDefault="00B0033A" w:rsidP="00914819">
      <w:pPr>
        <w:rPr>
          <w:rFonts w:ascii="Calibri" w:eastAsia="Calibri" w:hAnsi="Calibri" w:cs="Calibri"/>
          <w:sz w:val="22"/>
          <w:szCs w:val="22"/>
        </w:rPr>
      </w:pPr>
      <w:r>
        <w:rPr>
          <w:rFonts w:ascii="Calibri" w:eastAsia="Calibri" w:hAnsi="Calibri" w:cs="Calibri"/>
          <w:sz w:val="22"/>
          <w:szCs w:val="22"/>
        </w:rPr>
        <w:t xml:space="preserve"> </w:t>
      </w:r>
    </w:p>
    <w:p w14:paraId="115FF757" w14:textId="2E14EF66" w:rsidR="00386A55" w:rsidRPr="008642DC" w:rsidRDefault="00386A55" w:rsidP="00914819">
      <w:pPr>
        <w:rPr>
          <w:rFonts w:ascii="Calibri" w:eastAsia="Calibri" w:hAnsi="Calibri" w:cs="Calibri"/>
          <w:sz w:val="22"/>
          <w:szCs w:val="22"/>
          <w:u w:val="single"/>
        </w:rPr>
      </w:pPr>
      <w:r w:rsidRPr="008642DC">
        <w:rPr>
          <w:rFonts w:ascii="Calibri" w:eastAsia="Calibri" w:hAnsi="Calibri" w:cs="Calibri"/>
          <w:sz w:val="22"/>
          <w:szCs w:val="22"/>
          <w:u w:val="single"/>
        </w:rPr>
        <w:t>Force probante des documents de santé.</w:t>
      </w:r>
    </w:p>
    <w:p w14:paraId="77BA732E" w14:textId="77777777" w:rsidR="0055475B" w:rsidRDefault="0055475B" w:rsidP="00914819">
      <w:pPr>
        <w:rPr>
          <w:rFonts w:ascii="Calibri" w:eastAsia="Calibri" w:hAnsi="Calibri" w:cs="Calibri"/>
          <w:sz w:val="22"/>
          <w:szCs w:val="22"/>
        </w:rPr>
      </w:pPr>
    </w:p>
    <w:p w14:paraId="7430E435" w14:textId="337702FD" w:rsidR="00386A55" w:rsidRDefault="0023550B" w:rsidP="00914819">
      <w:pPr>
        <w:rPr>
          <w:rFonts w:ascii="Calibri" w:eastAsia="Calibri" w:hAnsi="Calibri" w:cs="Calibri"/>
          <w:sz w:val="22"/>
          <w:szCs w:val="22"/>
        </w:rPr>
      </w:pPr>
      <w:r>
        <w:rPr>
          <w:rFonts w:ascii="Calibri" w:eastAsia="Calibri" w:hAnsi="Calibri" w:cs="Calibri"/>
          <w:sz w:val="22"/>
          <w:szCs w:val="22"/>
        </w:rPr>
        <w:t>En octobre 2017, la FEIMA avait participé à une réunion de concertation sur le sujet ; réunion ayant pour objet de présenter les travaux en cours aux fédérations industrielles.</w:t>
      </w:r>
    </w:p>
    <w:p w14:paraId="7DB1F2A7" w14:textId="13E2006D" w:rsidR="0023550B" w:rsidRDefault="0023550B" w:rsidP="00914819">
      <w:pPr>
        <w:rPr>
          <w:rFonts w:ascii="Calibri" w:eastAsia="Calibri" w:hAnsi="Calibri" w:cs="Calibri"/>
          <w:sz w:val="22"/>
          <w:szCs w:val="22"/>
        </w:rPr>
      </w:pPr>
      <w:r>
        <w:rPr>
          <w:rFonts w:ascii="Calibri" w:eastAsia="Calibri" w:hAnsi="Calibri" w:cs="Calibri"/>
          <w:sz w:val="22"/>
          <w:szCs w:val="22"/>
        </w:rPr>
        <w:t>Nous avions émis des remarques au regard des exigences présentées et des impacts qu’elles ne manqueraient pas d’avoir sur les acteurs du système, notamment les professionnels de santé exerçant en secteur ambulatoire.</w:t>
      </w:r>
    </w:p>
    <w:p w14:paraId="4BB9042D" w14:textId="1E3E483E" w:rsidR="0023550B" w:rsidRDefault="009C7947" w:rsidP="00914819">
      <w:pPr>
        <w:rPr>
          <w:rFonts w:ascii="Calibri" w:eastAsia="Calibri" w:hAnsi="Calibri" w:cs="Calibri"/>
          <w:sz w:val="22"/>
          <w:szCs w:val="22"/>
        </w:rPr>
      </w:pPr>
      <w:r>
        <w:rPr>
          <w:rFonts w:ascii="Calibri" w:eastAsia="Calibri" w:hAnsi="Calibri" w:cs="Calibri"/>
          <w:sz w:val="22"/>
          <w:szCs w:val="22"/>
        </w:rPr>
        <w:t>Les exigences affichées et dont la portée telle que décrite dans le tableau ci-dessous est appelée à concerner la majeure partie des documents gérés par les acteurs du secteur, résulte</w:t>
      </w:r>
      <w:r w:rsidR="009B1067">
        <w:rPr>
          <w:rFonts w:ascii="Calibri" w:eastAsia="Calibri" w:hAnsi="Calibri" w:cs="Calibri"/>
          <w:sz w:val="22"/>
          <w:szCs w:val="22"/>
        </w:rPr>
        <w:t>nt</w:t>
      </w:r>
      <w:r w:rsidR="00B97824">
        <w:rPr>
          <w:rFonts w:ascii="Calibri" w:eastAsia="Calibri" w:hAnsi="Calibri" w:cs="Calibri"/>
          <w:sz w:val="22"/>
          <w:szCs w:val="22"/>
        </w:rPr>
        <w:t xml:space="preserve"> manifestement d’une démarche hospitalo-centrée</w:t>
      </w:r>
      <w:r w:rsidR="009B1067">
        <w:rPr>
          <w:rFonts w:ascii="Calibri" w:eastAsia="Calibri" w:hAnsi="Calibri" w:cs="Calibri"/>
          <w:sz w:val="22"/>
          <w:szCs w:val="22"/>
        </w:rPr>
        <w:t xml:space="preserve"> ne tenant aucun compte des contraintes du secteur ambulatoire.</w:t>
      </w:r>
    </w:p>
    <w:p w14:paraId="63EB1392" w14:textId="1E5A6C65" w:rsidR="00E834AE" w:rsidRDefault="00E834AE" w:rsidP="00914819">
      <w:pPr>
        <w:rPr>
          <w:rFonts w:ascii="Calibri" w:eastAsia="Calibri" w:hAnsi="Calibri" w:cs="Calibri"/>
          <w:sz w:val="22"/>
          <w:szCs w:val="22"/>
        </w:rPr>
      </w:pPr>
    </w:p>
    <w:p w14:paraId="30DF1D0C" w14:textId="0DFD311E" w:rsidR="009C7947" w:rsidRDefault="00E77AD0" w:rsidP="00914819">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73952" behindDoc="0" locked="0" layoutInCell="1" allowOverlap="1" wp14:anchorId="45473EC7" wp14:editId="7854A4F2">
            <wp:simplePos x="0" y="0"/>
            <wp:positionH relativeFrom="column">
              <wp:posOffset>-246184</wp:posOffset>
            </wp:positionH>
            <wp:positionV relativeFrom="paragraph">
              <wp:posOffset>240665</wp:posOffset>
            </wp:positionV>
            <wp:extent cx="228600" cy="228600"/>
            <wp:effectExtent l="25400" t="12700" r="76200" b="63500"/>
            <wp:wrapNone/>
            <wp:docPr id="42" name="Graphique 4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7947">
        <w:rPr>
          <w:rFonts w:ascii="Calibri" w:eastAsia="Calibri" w:hAnsi="Calibri" w:cs="Calibri"/>
          <w:sz w:val="22"/>
          <w:szCs w:val="22"/>
        </w:rPr>
        <w:t xml:space="preserve">Si </w:t>
      </w:r>
      <w:r w:rsidR="009B1067">
        <w:rPr>
          <w:rFonts w:ascii="Calibri" w:eastAsia="Calibri" w:hAnsi="Calibri" w:cs="Calibri"/>
          <w:sz w:val="22"/>
          <w:szCs w:val="22"/>
        </w:rPr>
        <w:t xml:space="preserve">les exigences nous paraissent applicables sur le périmètre de la production numérique native opérée par un professionnel de santé à partir de son logiciel métier, sous réserve toutefois que l’ensemble des documents concernés aient fait l’objet d’une modélisation CDA dans le CI-SIS, </w:t>
      </w:r>
      <w:r w:rsidR="00E834AE">
        <w:rPr>
          <w:rFonts w:ascii="Calibri" w:eastAsia="Calibri" w:hAnsi="Calibri" w:cs="Calibri"/>
          <w:sz w:val="22"/>
          <w:szCs w:val="22"/>
        </w:rPr>
        <w:t xml:space="preserve">les impacts techniques et financiers induits par la numérisation de documents ou par la production de documents numériques (impressions) sont de nature à rendre les exigences sur ces deux périmètres totalement inapplicables en secteur ambulatoire. </w:t>
      </w:r>
    </w:p>
    <w:p w14:paraId="790F400F" w14:textId="77777777" w:rsidR="0023550B" w:rsidRDefault="0023550B" w:rsidP="00914819">
      <w:pPr>
        <w:rPr>
          <w:rFonts w:ascii="Calibri" w:eastAsia="Calibri" w:hAnsi="Calibri" w:cs="Calibri"/>
          <w:sz w:val="22"/>
          <w:szCs w:val="22"/>
        </w:rPr>
      </w:pPr>
    </w:p>
    <w:p w14:paraId="5D7E3DF1" w14:textId="5BC96CE1" w:rsidR="00A62BE2" w:rsidRDefault="00A62BE2" w:rsidP="00914819">
      <w:pPr>
        <w:rPr>
          <w:rFonts w:ascii="Calibri" w:eastAsia="Calibri" w:hAnsi="Calibri" w:cs="Calibri"/>
          <w:sz w:val="22"/>
          <w:szCs w:val="22"/>
        </w:rPr>
      </w:pPr>
      <w:r>
        <w:rPr>
          <w:rFonts w:ascii="Calibri" w:eastAsia="Calibri" w:hAnsi="Calibri" w:cs="Calibri"/>
          <w:sz w:val="22"/>
          <w:szCs w:val="22"/>
        </w:rPr>
        <w:lastRenderedPageBreak/>
        <w:t>Classification des documents de santé</w:t>
      </w:r>
    </w:p>
    <w:p w14:paraId="3E62F0FB" w14:textId="09BD77B2" w:rsidR="008642DC" w:rsidRDefault="00A62BE2" w:rsidP="00914819">
      <w:pPr>
        <w:rPr>
          <w:rFonts w:ascii="Calibri" w:eastAsia="Calibri" w:hAnsi="Calibri" w:cs="Calibri"/>
          <w:sz w:val="22"/>
          <w:szCs w:val="22"/>
        </w:rPr>
      </w:pPr>
      <w:r w:rsidRPr="00A62BE2">
        <w:rPr>
          <w:rFonts w:ascii="Calibri" w:eastAsia="Calibri" w:hAnsi="Calibri" w:cs="Calibri"/>
          <w:noProof/>
          <w:sz w:val="22"/>
          <w:szCs w:val="22"/>
        </w:rPr>
        <w:drawing>
          <wp:inline distT="0" distB="0" distL="0" distR="0" wp14:anchorId="44A5A687" wp14:editId="2D449AD2">
            <wp:extent cx="4687512" cy="231457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4423" cy="2322925"/>
                    </a:xfrm>
                    <a:prstGeom prst="rect">
                      <a:avLst/>
                    </a:prstGeom>
                  </pic:spPr>
                </pic:pic>
              </a:graphicData>
            </a:graphic>
          </wp:inline>
        </w:drawing>
      </w:r>
    </w:p>
    <w:p w14:paraId="1155BE12" w14:textId="4F109DC4" w:rsidR="008642DC" w:rsidRDefault="008642DC" w:rsidP="00914819">
      <w:pPr>
        <w:rPr>
          <w:rFonts w:ascii="Calibri" w:eastAsia="Calibri" w:hAnsi="Calibri" w:cs="Calibri"/>
          <w:sz w:val="22"/>
          <w:szCs w:val="22"/>
        </w:rPr>
      </w:pPr>
    </w:p>
    <w:p w14:paraId="2B2B61F8" w14:textId="73105143" w:rsidR="0055475B" w:rsidRPr="008642DC" w:rsidRDefault="0055475B" w:rsidP="0055475B">
      <w:pPr>
        <w:rPr>
          <w:rFonts w:ascii="Calibri" w:eastAsia="Calibri" w:hAnsi="Calibri" w:cs="Calibri"/>
          <w:sz w:val="22"/>
          <w:szCs w:val="22"/>
          <w:u w:val="single"/>
        </w:rPr>
      </w:pPr>
      <w:r>
        <w:rPr>
          <w:rFonts w:ascii="Calibri" w:eastAsia="Calibri" w:hAnsi="Calibri" w:cs="Calibri"/>
          <w:sz w:val="22"/>
          <w:szCs w:val="22"/>
          <w:u w:val="single"/>
        </w:rPr>
        <w:t>Référentiels d’acteurs pour les personnes physiques</w:t>
      </w:r>
    </w:p>
    <w:p w14:paraId="5B8FB61D" w14:textId="77777777" w:rsidR="0055475B" w:rsidRDefault="0055475B" w:rsidP="0055475B">
      <w:pPr>
        <w:rPr>
          <w:rFonts w:ascii="Calibri" w:eastAsia="Calibri" w:hAnsi="Calibri" w:cs="Calibri"/>
          <w:sz w:val="22"/>
          <w:szCs w:val="22"/>
        </w:rPr>
      </w:pPr>
    </w:p>
    <w:p w14:paraId="3A5A31F3" w14:textId="7ACA2483" w:rsidR="0055475B" w:rsidRDefault="003A0D29" w:rsidP="0055475B">
      <w:pPr>
        <w:rPr>
          <w:rFonts w:ascii="Calibri" w:eastAsia="Calibri" w:hAnsi="Calibri" w:cs="Calibri"/>
          <w:sz w:val="22"/>
          <w:szCs w:val="22"/>
        </w:rPr>
      </w:pPr>
      <w:r>
        <w:rPr>
          <w:rFonts w:ascii="Calibri" w:eastAsia="Calibri" w:hAnsi="Calibri" w:cs="Calibri"/>
          <w:sz w:val="22"/>
          <w:szCs w:val="22"/>
        </w:rPr>
        <w:t xml:space="preserve">Les orientations présentées dans ce chapitre de la doctrine nous paraissent de nature à répondre aux contraintes et aux attentes auxquelles nous sommes confrontés, notamment à l’égard des </w:t>
      </w:r>
      <w:r w:rsidR="00821B63">
        <w:rPr>
          <w:rFonts w:ascii="Calibri" w:eastAsia="Calibri" w:hAnsi="Calibri" w:cs="Calibri"/>
          <w:sz w:val="22"/>
          <w:szCs w:val="22"/>
        </w:rPr>
        <w:t>situations suivantes.</w:t>
      </w:r>
    </w:p>
    <w:p w14:paraId="71AC5A73" w14:textId="3D96F74D" w:rsidR="003A0D29" w:rsidRPr="003A0D29" w:rsidRDefault="003A0D29" w:rsidP="003A0D29">
      <w:pPr>
        <w:pStyle w:val="Paragraphedeliste"/>
        <w:numPr>
          <w:ilvl w:val="0"/>
          <w:numId w:val="18"/>
        </w:numPr>
        <w:rPr>
          <w:rFonts w:ascii="Calibri" w:eastAsia="Calibri" w:hAnsi="Calibri" w:cs="Calibri"/>
          <w:sz w:val="22"/>
          <w:szCs w:val="22"/>
          <w:lang w:val="fr-FR"/>
        </w:rPr>
      </w:pPr>
      <w:r w:rsidRPr="003A0D29">
        <w:rPr>
          <w:rFonts w:ascii="Calibri" w:eastAsia="Calibri" w:hAnsi="Calibri" w:cs="Calibri"/>
          <w:sz w:val="22"/>
          <w:szCs w:val="22"/>
          <w:lang w:val="fr-FR"/>
        </w:rPr>
        <w:t>Ouverture d’accès à des services numériques à une gamme élargie d’acteurs concourant à la prise en charge des patients (secrétaires médicales, aides-soignantes, acteurs du champ médico-social, …)</w:t>
      </w:r>
    </w:p>
    <w:p w14:paraId="4E39C410" w14:textId="7D32A1AF" w:rsidR="003A0D29" w:rsidRDefault="00E05E7B" w:rsidP="003A0D29">
      <w:pPr>
        <w:pStyle w:val="Paragraphedeliste"/>
        <w:numPr>
          <w:ilvl w:val="0"/>
          <w:numId w:val="18"/>
        </w:numPr>
        <w:rPr>
          <w:rFonts w:ascii="Calibri" w:eastAsia="Calibri" w:hAnsi="Calibri" w:cs="Calibri"/>
          <w:sz w:val="22"/>
          <w:szCs w:val="22"/>
          <w:lang w:val="fr-FR"/>
        </w:rPr>
      </w:pPr>
      <w:r>
        <w:rPr>
          <w:rFonts w:ascii="Calibri" w:eastAsia="Calibri" w:hAnsi="Calibri" w:cs="Calibri"/>
          <w:noProof/>
          <w:sz w:val="22"/>
          <w:szCs w:val="22"/>
          <w:lang w:val="fr-FR" w:eastAsia="fr-FR"/>
        </w:rPr>
        <w:drawing>
          <wp:anchor distT="0" distB="0" distL="114300" distR="114300" simplePos="0" relativeHeight="251836416" behindDoc="0" locked="0" layoutInCell="1" allowOverlap="1" wp14:anchorId="5342F459" wp14:editId="3A520459">
            <wp:simplePos x="0" y="0"/>
            <wp:positionH relativeFrom="column">
              <wp:posOffset>194401</wp:posOffset>
            </wp:positionH>
            <wp:positionV relativeFrom="paragraph">
              <wp:posOffset>393700</wp:posOffset>
            </wp:positionV>
            <wp:extent cx="228600" cy="228600"/>
            <wp:effectExtent l="25400" t="12700" r="76200" b="63500"/>
            <wp:wrapNone/>
            <wp:docPr id="20" name="Graphique 20"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A0D29" w:rsidRPr="003A0D29">
        <w:rPr>
          <w:rFonts w:ascii="Calibri" w:eastAsia="Calibri" w:hAnsi="Calibri" w:cs="Calibri"/>
          <w:sz w:val="22"/>
          <w:szCs w:val="22"/>
          <w:lang w:val="fr-FR"/>
        </w:rPr>
        <w:t>Accès aux services du RPPS (services de public</w:t>
      </w:r>
      <w:r w:rsidR="003A0D29">
        <w:rPr>
          <w:rFonts w:ascii="Calibri" w:eastAsia="Calibri" w:hAnsi="Calibri" w:cs="Calibri"/>
          <w:sz w:val="22"/>
          <w:szCs w:val="22"/>
          <w:lang w:val="fr-FR"/>
        </w:rPr>
        <w:t xml:space="preserve">ation) </w:t>
      </w:r>
      <w:r w:rsidR="003A0D29" w:rsidRPr="003A0D29">
        <w:rPr>
          <w:rFonts w:ascii="Calibri" w:eastAsia="Calibri" w:hAnsi="Calibri" w:cs="Calibri"/>
          <w:sz w:val="22"/>
          <w:szCs w:val="22"/>
          <w:lang w:val="fr-FR"/>
        </w:rPr>
        <w:t>à partir d’applicatifs aux fins d’alimentation d’annuaires locaux</w:t>
      </w:r>
      <w:r w:rsidR="003A0D29">
        <w:rPr>
          <w:rFonts w:ascii="Calibri" w:eastAsia="Calibri" w:hAnsi="Calibri" w:cs="Calibri"/>
          <w:sz w:val="22"/>
          <w:szCs w:val="22"/>
          <w:lang w:val="fr-FR"/>
        </w:rPr>
        <w:t>,</w:t>
      </w:r>
      <w:r w:rsidR="003A0D29" w:rsidRPr="003A0D29">
        <w:rPr>
          <w:rFonts w:ascii="Calibri" w:eastAsia="Calibri" w:hAnsi="Calibri" w:cs="Calibri"/>
          <w:sz w:val="22"/>
          <w:szCs w:val="22"/>
          <w:lang w:val="fr-FR"/>
        </w:rPr>
        <w:t xml:space="preserve"> frontaux de services à valeur ajoutée</w:t>
      </w:r>
      <w:r>
        <w:rPr>
          <w:rFonts w:ascii="Calibri" w:eastAsia="Calibri" w:hAnsi="Calibri" w:cs="Calibri"/>
          <w:sz w:val="22"/>
          <w:szCs w:val="22"/>
          <w:lang w:val="fr-FR"/>
        </w:rPr>
        <w:br/>
        <w:t>Les modalités d’accès aux données de l’annuaire santé devraient permettre de récupérer de manière libre les coordonnées des professionnels (numéros de téléphone professionnel et adresse email)</w:t>
      </w:r>
    </w:p>
    <w:p w14:paraId="46ACD600" w14:textId="2953573D" w:rsidR="00821B63" w:rsidRDefault="00821B63" w:rsidP="003A0D29">
      <w:pPr>
        <w:pStyle w:val="Paragraphedeliste"/>
        <w:numPr>
          <w:ilvl w:val="0"/>
          <w:numId w:val="18"/>
        </w:numPr>
        <w:rPr>
          <w:rFonts w:ascii="Calibri" w:eastAsia="Calibri" w:hAnsi="Calibri" w:cs="Calibri"/>
          <w:sz w:val="22"/>
          <w:szCs w:val="22"/>
          <w:lang w:val="fr-FR"/>
        </w:rPr>
      </w:pPr>
      <w:r>
        <w:rPr>
          <w:rFonts w:ascii="Calibri" w:eastAsia="Calibri" w:hAnsi="Calibri" w:cs="Calibri"/>
          <w:sz w:val="22"/>
          <w:szCs w:val="22"/>
          <w:lang w:val="fr-FR"/>
        </w:rPr>
        <w:t>Unification, via le RPPS, des diverses sources de données d’identification</w:t>
      </w:r>
    </w:p>
    <w:p w14:paraId="7D46971F" w14:textId="255150E3" w:rsidR="00821B63" w:rsidRDefault="00821B63" w:rsidP="00821B63">
      <w:pPr>
        <w:rPr>
          <w:rFonts w:ascii="Calibri" w:eastAsia="Calibri" w:hAnsi="Calibri" w:cs="Calibri"/>
          <w:sz w:val="22"/>
          <w:szCs w:val="22"/>
        </w:rPr>
      </w:pPr>
    </w:p>
    <w:p w14:paraId="3B98D50E" w14:textId="553D3299" w:rsidR="00821B63" w:rsidRDefault="00821B63" w:rsidP="00821B63">
      <w:pPr>
        <w:rPr>
          <w:rFonts w:ascii="Calibri" w:eastAsia="Calibri" w:hAnsi="Calibri" w:cs="Calibri"/>
          <w:sz w:val="22"/>
          <w:szCs w:val="22"/>
        </w:rPr>
      </w:pPr>
      <w:r>
        <w:rPr>
          <w:rFonts w:ascii="Calibri" w:eastAsia="Calibri" w:hAnsi="Calibri" w:cs="Calibri"/>
          <w:sz w:val="22"/>
          <w:szCs w:val="22"/>
        </w:rPr>
        <w:t xml:space="preserve">Les échéances prévues </w:t>
      </w:r>
      <w:r w:rsidR="00AC2D24">
        <w:rPr>
          <w:rFonts w:ascii="Calibri" w:eastAsia="Calibri" w:hAnsi="Calibri" w:cs="Calibri"/>
          <w:sz w:val="22"/>
          <w:szCs w:val="22"/>
        </w:rPr>
        <w:t>(fin</w:t>
      </w:r>
      <w:r w:rsidR="00E30292">
        <w:rPr>
          <w:rFonts w:ascii="Calibri" w:eastAsia="Calibri" w:hAnsi="Calibri" w:cs="Calibri"/>
          <w:sz w:val="22"/>
          <w:szCs w:val="22"/>
        </w:rPr>
        <w:t xml:space="preserve"> </w:t>
      </w:r>
      <w:r>
        <w:rPr>
          <w:rFonts w:ascii="Calibri" w:eastAsia="Calibri" w:hAnsi="Calibri" w:cs="Calibri"/>
          <w:sz w:val="22"/>
          <w:szCs w:val="22"/>
        </w:rPr>
        <w:t>2022) pour l’intégration des professionnels enregistrés par les ARS et des infirmiers enregistrés par l’ONI nous paraissent très lointaines.</w:t>
      </w:r>
    </w:p>
    <w:p w14:paraId="21E5AAFE" w14:textId="7757D8BE" w:rsidR="00821B63" w:rsidRDefault="003B18B8" w:rsidP="00821B63">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34368" behindDoc="0" locked="0" layoutInCell="1" allowOverlap="1" wp14:anchorId="5AF8CCE4" wp14:editId="6A4BA58B">
            <wp:simplePos x="0" y="0"/>
            <wp:positionH relativeFrom="column">
              <wp:posOffset>-260894</wp:posOffset>
            </wp:positionH>
            <wp:positionV relativeFrom="paragraph">
              <wp:posOffset>12700</wp:posOffset>
            </wp:positionV>
            <wp:extent cx="228600" cy="228600"/>
            <wp:effectExtent l="25400" t="12700" r="76200" b="63500"/>
            <wp:wrapNone/>
            <wp:docPr id="7" name="Graphique 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21B63">
        <w:rPr>
          <w:rFonts w:ascii="Calibri" w:eastAsia="Calibri" w:hAnsi="Calibri" w:cs="Calibri"/>
          <w:sz w:val="22"/>
          <w:szCs w:val="22"/>
        </w:rPr>
        <w:t>Même si nous comprenons que la convergence des annuaires RPPS et ADELI</w:t>
      </w:r>
      <w:r>
        <w:rPr>
          <w:rFonts w:ascii="Calibri" w:eastAsia="Calibri" w:hAnsi="Calibri" w:cs="Calibri"/>
          <w:sz w:val="22"/>
          <w:szCs w:val="22"/>
        </w:rPr>
        <w:t xml:space="preserve"> nécessite de tenir compte des impacts sur des systèmes tels que la facturation des FSE, il nous semble que les travaux de consolidation des identifiants des professions à ordre au sein </w:t>
      </w:r>
      <w:r w:rsidR="006F62D3">
        <w:rPr>
          <w:rFonts w:ascii="Calibri" w:eastAsia="Calibri" w:hAnsi="Calibri" w:cs="Calibri"/>
          <w:sz w:val="22"/>
          <w:szCs w:val="22"/>
        </w:rPr>
        <w:t xml:space="preserve">de l’annuaire santé </w:t>
      </w:r>
      <w:r>
        <w:rPr>
          <w:rFonts w:ascii="Calibri" w:eastAsia="Calibri" w:hAnsi="Calibri" w:cs="Calibri"/>
          <w:sz w:val="22"/>
          <w:szCs w:val="22"/>
        </w:rPr>
        <w:t>devraient faire l’objet d’une mobilisation soutenue au bénéfice d’échéances plus courtes.</w:t>
      </w:r>
    </w:p>
    <w:p w14:paraId="0022F3DA" w14:textId="77777777" w:rsidR="00002BC3" w:rsidRPr="00821B63" w:rsidRDefault="00002BC3" w:rsidP="00821B63">
      <w:pPr>
        <w:rPr>
          <w:rFonts w:ascii="Calibri" w:eastAsia="Calibri" w:hAnsi="Calibri" w:cs="Calibri"/>
          <w:sz w:val="22"/>
          <w:szCs w:val="22"/>
        </w:rPr>
      </w:pPr>
    </w:p>
    <w:p w14:paraId="77369823" w14:textId="77777777" w:rsidR="003A0D29" w:rsidRDefault="003A0D29" w:rsidP="0055475B">
      <w:pPr>
        <w:rPr>
          <w:rFonts w:ascii="Calibri" w:eastAsia="Calibri" w:hAnsi="Calibri" w:cs="Calibri"/>
          <w:sz w:val="22"/>
          <w:szCs w:val="22"/>
        </w:rPr>
      </w:pPr>
    </w:p>
    <w:p w14:paraId="725DC205" w14:textId="50824695" w:rsidR="006F62D3" w:rsidRPr="008642DC" w:rsidRDefault="006F62D3" w:rsidP="006F62D3">
      <w:pPr>
        <w:rPr>
          <w:rFonts w:ascii="Calibri" w:eastAsia="Calibri" w:hAnsi="Calibri" w:cs="Calibri"/>
          <w:sz w:val="22"/>
          <w:szCs w:val="22"/>
          <w:u w:val="single"/>
        </w:rPr>
      </w:pPr>
      <w:r>
        <w:rPr>
          <w:rFonts w:ascii="Calibri" w:eastAsia="Calibri" w:hAnsi="Calibri" w:cs="Calibri"/>
          <w:sz w:val="22"/>
          <w:szCs w:val="22"/>
          <w:u w:val="single"/>
        </w:rPr>
        <w:t>Référentiels d’acteurs pour les personnes morales/structures</w:t>
      </w:r>
    </w:p>
    <w:p w14:paraId="11E933CE" w14:textId="77777777" w:rsidR="006F62D3" w:rsidRDefault="006F62D3" w:rsidP="006F62D3">
      <w:pPr>
        <w:rPr>
          <w:rFonts w:ascii="Calibri" w:eastAsia="Calibri" w:hAnsi="Calibri" w:cs="Calibri"/>
          <w:sz w:val="22"/>
          <w:szCs w:val="22"/>
        </w:rPr>
      </w:pPr>
    </w:p>
    <w:p w14:paraId="3A750E39" w14:textId="7EF055AF" w:rsidR="006F62D3" w:rsidRDefault="00BC7052" w:rsidP="006F62D3">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38464" behindDoc="0" locked="0" layoutInCell="1" allowOverlap="1" wp14:anchorId="265E265E" wp14:editId="3140E762">
            <wp:simplePos x="0" y="0"/>
            <wp:positionH relativeFrom="column">
              <wp:posOffset>-236946</wp:posOffset>
            </wp:positionH>
            <wp:positionV relativeFrom="paragraph">
              <wp:posOffset>182880</wp:posOffset>
            </wp:positionV>
            <wp:extent cx="228600" cy="228600"/>
            <wp:effectExtent l="25400" t="12700" r="76200" b="63500"/>
            <wp:wrapNone/>
            <wp:docPr id="22" name="Graphique 2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F62D3">
        <w:rPr>
          <w:rFonts w:ascii="Calibri" w:eastAsia="Calibri" w:hAnsi="Calibri" w:cs="Calibri"/>
          <w:sz w:val="22"/>
          <w:szCs w:val="22"/>
        </w:rPr>
        <w:t xml:space="preserve">A l’identique </w:t>
      </w:r>
      <w:r>
        <w:rPr>
          <w:rFonts w:ascii="Calibri" w:eastAsia="Calibri" w:hAnsi="Calibri" w:cs="Calibri"/>
          <w:sz w:val="22"/>
          <w:szCs w:val="22"/>
        </w:rPr>
        <w:t>des dispositions relatives aux accès aux données de l’annuaire santé, nous souhaitons voir le répertoire FINESS se placer dans dynamique d’ouverture élargie aux fournisseurs de services numériques.</w:t>
      </w:r>
    </w:p>
    <w:p w14:paraId="17686003" w14:textId="57F1AB5D" w:rsidR="00BC7052" w:rsidRDefault="00BC7052" w:rsidP="006F62D3">
      <w:pPr>
        <w:rPr>
          <w:rFonts w:ascii="Calibri" w:eastAsia="Calibri" w:hAnsi="Calibri" w:cs="Calibri"/>
          <w:sz w:val="22"/>
          <w:szCs w:val="22"/>
        </w:rPr>
      </w:pPr>
      <w:r>
        <w:rPr>
          <w:rFonts w:ascii="Calibri" w:eastAsia="Calibri" w:hAnsi="Calibri" w:cs="Calibri"/>
          <w:sz w:val="22"/>
          <w:szCs w:val="22"/>
        </w:rPr>
        <w:t>Dans cette perspective, la FEIMA se tient prête à justifier du bien-fondé des cas d’usages susceptibles de bénéficier de cette ouverture.</w:t>
      </w:r>
    </w:p>
    <w:p w14:paraId="6D47FF54" w14:textId="77777777" w:rsidR="00002BC3" w:rsidRDefault="00002BC3" w:rsidP="006F62D3">
      <w:pPr>
        <w:rPr>
          <w:rFonts w:ascii="Calibri" w:eastAsia="Calibri" w:hAnsi="Calibri" w:cs="Calibri"/>
          <w:sz w:val="22"/>
          <w:szCs w:val="22"/>
        </w:rPr>
      </w:pPr>
    </w:p>
    <w:p w14:paraId="149747DF" w14:textId="77777777" w:rsidR="003A0D29" w:rsidRDefault="003A0D29" w:rsidP="0055475B">
      <w:pPr>
        <w:rPr>
          <w:rFonts w:ascii="Calibri" w:eastAsia="Calibri" w:hAnsi="Calibri" w:cs="Calibri"/>
          <w:sz w:val="22"/>
          <w:szCs w:val="22"/>
        </w:rPr>
      </w:pPr>
    </w:p>
    <w:p w14:paraId="777426AF" w14:textId="0BAFC286" w:rsidR="00952601" w:rsidRPr="008642DC" w:rsidRDefault="00952601" w:rsidP="00952601">
      <w:pPr>
        <w:rPr>
          <w:rFonts w:ascii="Calibri" w:eastAsia="Calibri" w:hAnsi="Calibri" w:cs="Calibri"/>
          <w:sz w:val="22"/>
          <w:szCs w:val="22"/>
          <w:u w:val="single"/>
        </w:rPr>
      </w:pPr>
      <w:r>
        <w:rPr>
          <w:rFonts w:ascii="Calibri" w:eastAsia="Calibri" w:hAnsi="Calibri" w:cs="Calibri"/>
          <w:sz w:val="22"/>
          <w:szCs w:val="22"/>
          <w:u w:val="single"/>
        </w:rPr>
        <w:t>Identité numérique des acteurs de santé et du médico-social</w:t>
      </w:r>
    </w:p>
    <w:p w14:paraId="3DFD06CE" w14:textId="77777777" w:rsidR="00952601" w:rsidRDefault="00952601" w:rsidP="00952601">
      <w:pPr>
        <w:rPr>
          <w:rFonts w:ascii="Calibri" w:eastAsia="Calibri" w:hAnsi="Calibri" w:cs="Calibri"/>
          <w:sz w:val="22"/>
          <w:szCs w:val="22"/>
        </w:rPr>
      </w:pPr>
    </w:p>
    <w:p w14:paraId="52FE1932" w14:textId="1B53C276" w:rsidR="00D900BB" w:rsidRDefault="00D46B85" w:rsidP="009C2F74">
      <w:pPr>
        <w:spacing w:after="240"/>
        <w:rPr>
          <w:rFonts w:ascii="Calibri" w:eastAsia="Calibri" w:hAnsi="Calibri" w:cs="Calibri"/>
          <w:sz w:val="22"/>
          <w:szCs w:val="22"/>
        </w:rPr>
      </w:pPr>
      <w:r>
        <w:rPr>
          <w:rFonts w:ascii="Calibri" w:eastAsia="Calibri" w:hAnsi="Calibri" w:cs="Calibri"/>
          <w:sz w:val="22"/>
          <w:szCs w:val="22"/>
        </w:rPr>
        <w:t>Au-delà des premières mobilisations qui ont été faites dans le cadre d’expérimentations des services de dématérialisation des cartes CPS</w:t>
      </w:r>
      <w:r w:rsidR="00002BC3">
        <w:rPr>
          <w:rFonts w:ascii="Calibri" w:eastAsia="Calibri" w:hAnsi="Calibri" w:cs="Calibri"/>
          <w:sz w:val="22"/>
          <w:szCs w:val="22"/>
        </w:rPr>
        <w:t xml:space="preserve"> (Pro Santé Connect &amp; e-CPS)</w:t>
      </w:r>
      <w:r>
        <w:rPr>
          <w:rFonts w:ascii="Calibri" w:eastAsia="Calibri" w:hAnsi="Calibri" w:cs="Calibri"/>
          <w:sz w:val="22"/>
          <w:szCs w:val="22"/>
        </w:rPr>
        <w:t xml:space="preserve">, limitées à quelques usages et sur des territoires restreints, </w:t>
      </w:r>
      <w:r w:rsidR="00D900BB">
        <w:rPr>
          <w:rFonts w:ascii="Calibri" w:eastAsia="Calibri" w:hAnsi="Calibri" w:cs="Calibri"/>
          <w:sz w:val="22"/>
          <w:szCs w:val="22"/>
        </w:rPr>
        <w:t>la FEIMA</w:t>
      </w:r>
      <w:r>
        <w:rPr>
          <w:rFonts w:ascii="Calibri" w:eastAsia="Calibri" w:hAnsi="Calibri" w:cs="Calibri"/>
          <w:sz w:val="22"/>
          <w:szCs w:val="22"/>
        </w:rPr>
        <w:t xml:space="preserve"> envisage de mobiliser de manière plus soutenue ses membres dans le courant de l’année 2020.</w:t>
      </w:r>
      <w:r w:rsidR="00D900BB">
        <w:rPr>
          <w:rFonts w:ascii="Calibri" w:eastAsia="Calibri" w:hAnsi="Calibri" w:cs="Calibri"/>
          <w:sz w:val="22"/>
          <w:szCs w:val="22"/>
        </w:rPr>
        <w:br/>
      </w:r>
      <w:r>
        <w:rPr>
          <w:rFonts w:ascii="Calibri" w:eastAsia="Calibri" w:hAnsi="Calibri" w:cs="Calibri"/>
          <w:sz w:val="22"/>
          <w:szCs w:val="22"/>
        </w:rPr>
        <w:lastRenderedPageBreak/>
        <w:t xml:space="preserve">Cette mobilisation ne sera néanmoins susceptible de se concrétiser que si les conditions </w:t>
      </w:r>
      <w:r w:rsidR="00002BC3">
        <w:rPr>
          <w:rFonts w:ascii="Calibri" w:eastAsia="Calibri" w:hAnsi="Calibri" w:cs="Calibri"/>
          <w:sz w:val="22"/>
          <w:szCs w:val="22"/>
        </w:rPr>
        <w:t xml:space="preserve">répondant aux logiques d’usages </w:t>
      </w:r>
      <w:r>
        <w:rPr>
          <w:rFonts w:ascii="Calibri" w:eastAsia="Calibri" w:hAnsi="Calibri" w:cs="Calibri"/>
          <w:sz w:val="22"/>
          <w:szCs w:val="22"/>
        </w:rPr>
        <w:t xml:space="preserve">exposées ci-après </w:t>
      </w:r>
      <w:r w:rsidR="00002BC3">
        <w:rPr>
          <w:rFonts w:ascii="Calibri" w:eastAsia="Calibri" w:hAnsi="Calibri" w:cs="Calibri"/>
          <w:sz w:val="22"/>
          <w:szCs w:val="22"/>
        </w:rPr>
        <w:t>sont réunies.</w:t>
      </w:r>
    </w:p>
    <w:p w14:paraId="79196E93" w14:textId="77777777" w:rsidR="00D900BB" w:rsidRDefault="00D900BB" w:rsidP="009C2F74">
      <w:pPr>
        <w:rPr>
          <w:rFonts w:ascii="Calibri" w:eastAsia="Calibri" w:hAnsi="Calibri" w:cs="Calibri"/>
          <w:sz w:val="22"/>
          <w:szCs w:val="22"/>
        </w:rPr>
      </w:pPr>
      <w:r>
        <w:rPr>
          <w:rFonts w:ascii="Calibri" w:eastAsia="Calibri" w:hAnsi="Calibri" w:cs="Calibri"/>
          <w:sz w:val="22"/>
          <w:szCs w:val="22"/>
        </w:rPr>
        <w:t>Les conditions permettant de générer une mobilisation soutenue des industriels tiennent principalement aux usages de ces dispositifs, seul véritable vecteur d’adhésion des professionnels de santé aux services qui seront proposés.</w:t>
      </w:r>
    </w:p>
    <w:p w14:paraId="5FB3EE51" w14:textId="77777777" w:rsidR="00D900BB" w:rsidRDefault="00D900BB" w:rsidP="009C2F74">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42560" behindDoc="0" locked="0" layoutInCell="1" allowOverlap="1" wp14:anchorId="4398D021" wp14:editId="200C1037">
            <wp:simplePos x="0" y="0"/>
            <wp:positionH relativeFrom="column">
              <wp:posOffset>-338909</wp:posOffset>
            </wp:positionH>
            <wp:positionV relativeFrom="paragraph">
              <wp:posOffset>90170</wp:posOffset>
            </wp:positionV>
            <wp:extent cx="348615" cy="348615"/>
            <wp:effectExtent l="0" t="12700" r="32385" b="45085"/>
            <wp:wrapNone/>
            <wp:docPr id="24" name="Graphique 24"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zIolAQ.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8615" cy="348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Nous avons donc recensé les différentes situations et cas d’usages qui nous paraissent devoir répondre aux attentes des professionnels.</w:t>
      </w:r>
      <w:r>
        <w:rPr>
          <w:rFonts w:ascii="Calibri" w:eastAsia="Calibri" w:hAnsi="Calibri" w:cs="Calibri"/>
          <w:sz w:val="22"/>
          <w:szCs w:val="22"/>
        </w:rPr>
        <w:br/>
        <w:t>Nous avons enfin mentionné les contraintes à lever et les usages qui nous paraissent les plus porteurs à court terme.</w:t>
      </w:r>
    </w:p>
    <w:p w14:paraId="14CA8F71" w14:textId="77777777" w:rsidR="00D900BB" w:rsidRDefault="00D900BB" w:rsidP="00D900BB">
      <w:pPr>
        <w:ind w:left="720"/>
        <w:rPr>
          <w:rFonts w:ascii="Calibri" w:eastAsia="Calibri" w:hAnsi="Calibri" w:cs="Calibri"/>
          <w:sz w:val="22"/>
          <w:szCs w:val="22"/>
        </w:rPr>
      </w:pPr>
    </w:p>
    <w:p w14:paraId="39ED98C0" w14:textId="77777777" w:rsidR="00D900BB" w:rsidRPr="00F36544" w:rsidRDefault="00D900BB" w:rsidP="009C2F7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Calibri" w:hAnsi="Calibri" w:cs="Calibri"/>
          <w:sz w:val="22"/>
          <w:szCs w:val="22"/>
          <w:bdr w:val="none" w:sz="0" w:space="0" w:color="auto"/>
          <w:lang w:val="fr-FR"/>
        </w:rPr>
      </w:pPr>
      <w:r w:rsidRPr="00F36544">
        <w:rPr>
          <w:rFonts w:ascii="Calibri" w:eastAsia="Calibri" w:hAnsi="Calibri" w:cs="Calibri"/>
          <w:sz w:val="22"/>
          <w:szCs w:val="22"/>
          <w:bdr w:val="none" w:sz="0" w:space="0" w:color="auto"/>
          <w:lang w:val="fr-FR"/>
        </w:rPr>
        <w:t>Professionnels en situation de mobilité : les PS ne disposent pas nécessairement d’un lecteur de carte CPS dans les cas d’usages ci-après</w:t>
      </w:r>
      <w:r>
        <w:rPr>
          <w:rFonts w:ascii="Calibri" w:eastAsia="Calibri" w:hAnsi="Calibri" w:cs="Calibri"/>
          <w:sz w:val="22"/>
          <w:szCs w:val="22"/>
          <w:bdr w:val="none" w:sz="0" w:space="0" w:color="auto"/>
          <w:lang w:val="fr-FR"/>
        </w:rPr>
        <w:t xml:space="preserve"> et accueilleront donc favorablement les services dématérialisés</w:t>
      </w:r>
    </w:p>
    <w:p w14:paraId="6B09C827" w14:textId="77777777" w:rsidR="00D900BB" w:rsidRPr="00F36544" w:rsidRDefault="00D900BB" w:rsidP="009C2F7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ind w:left="1080"/>
        <w:rPr>
          <w:rFonts w:ascii="Calibri" w:eastAsia="Calibri" w:hAnsi="Calibri" w:cs="Calibri"/>
          <w:sz w:val="22"/>
          <w:szCs w:val="22"/>
          <w:bdr w:val="none" w:sz="0" w:space="0" w:color="auto"/>
          <w:lang w:val="fr-FR"/>
        </w:rPr>
      </w:pPr>
      <w:r w:rsidRPr="00F36544">
        <w:rPr>
          <w:rFonts w:ascii="Calibri" w:eastAsia="Calibri" w:hAnsi="Calibri" w:cs="Calibri"/>
          <w:sz w:val="22"/>
          <w:szCs w:val="22"/>
          <w:bdr w:val="none" w:sz="0" w:space="0" w:color="auto"/>
          <w:lang w:val="fr-FR"/>
        </w:rPr>
        <w:t>Infirmière en tournée au domicile des patients : mise à jour de son dossier sur son LPS, accès la MSS, accès au DMP ou aux services de coordination de parcours, accès aux téléservices de l’assurance maladie et facturation des actes, y compris en tiers payant intégral</w:t>
      </w:r>
      <w:r>
        <w:rPr>
          <w:rFonts w:ascii="Calibri" w:eastAsia="Calibri" w:hAnsi="Calibri" w:cs="Calibri"/>
          <w:sz w:val="22"/>
          <w:szCs w:val="22"/>
          <w:bdr w:val="none" w:sz="0" w:space="0" w:color="auto"/>
          <w:lang w:val="fr-FR"/>
        </w:rPr>
        <w:t>, pratiques de télésoin en support d’une téléconsultation avec un médecin distant (assistance du patient)</w:t>
      </w:r>
    </w:p>
    <w:p w14:paraId="7150682A" w14:textId="27CB08BA" w:rsidR="00D900BB" w:rsidRDefault="00D900BB" w:rsidP="009C2F7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ind w:left="1080"/>
        <w:rPr>
          <w:rFonts w:ascii="Calibri" w:eastAsia="Calibri" w:hAnsi="Calibri" w:cs="Calibri"/>
          <w:sz w:val="22"/>
          <w:szCs w:val="22"/>
          <w:bdr w:val="none" w:sz="0" w:space="0" w:color="auto"/>
          <w:lang w:val="fr-FR"/>
        </w:rPr>
      </w:pPr>
      <w:r w:rsidRPr="00F36544">
        <w:rPr>
          <w:rFonts w:ascii="Calibri" w:eastAsia="Calibri" w:hAnsi="Calibri" w:cs="Calibri"/>
          <w:sz w:val="22"/>
          <w:szCs w:val="22"/>
          <w:bdr w:val="none" w:sz="0" w:space="0" w:color="auto"/>
          <w:lang w:val="fr-FR"/>
        </w:rPr>
        <w:t xml:space="preserve">Visites médicales à domicile ou en </w:t>
      </w:r>
      <w:r w:rsidR="00E30292">
        <w:rPr>
          <w:rFonts w:ascii="Calibri" w:eastAsia="Calibri" w:hAnsi="Calibri" w:cs="Calibri"/>
          <w:sz w:val="22"/>
          <w:szCs w:val="22"/>
          <w:bdr w:val="none" w:sz="0" w:space="0" w:color="auto"/>
          <w:lang w:val="fr-FR"/>
        </w:rPr>
        <w:t>EHPAD</w:t>
      </w:r>
      <w:r w:rsidR="00E30292" w:rsidRPr="00F36544">
        <w:rPr>
          <w:rFonts w:ascii="Calibri" w:eastAsia="Calibri" w:hAnsi="Calibri" w:cs="Calibri"/>
          <w:sz w:val="22"/>
          <w:szCs w:val="22"/>
          <w:bdr w:val="none" w:sz="0" w:space="0" w:color="auto"/>
          <w:lang w:val="fr-FR"/>
        </w:rPr>
        <w:t> </w:t>
      </w:r>
      <w:r w:rsidRPr="00F36544">
        <w:rPr>
          <w:rFonts w:ascii="Calibri" w:eastAsia="Calibri" w:hAnsi="Calibri" w:cs="Calibri"/>
          <w:sz w:val="22"/>
          <w:szCs w:val="22"/>
          <w:bdr w:val="none" w:sz="0" w:space="0" w:color="auto"/>
          <w:lang w:val="fr-FR"/>
        </w:rPr>
        <w:t>: mise à jour de son dossier sur son LPS, accès à la MSS, accès au DMP ou aux services de coordination de parcours, accès aux téléservices de l’assurance maladie et facturation des actes, y compris en tiers payant intégral</w:t>
      </w:r>
    </w:p>
    <w:p w14:paraId="34B917F5" w14:textId="77777777" w:rsidR="00D900BB" w:rsidRPr="00F36544" w:rsidRDefault="00D900BB" w:rsidP="009C2F7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ind w:left="1080"/>
        <w:rPr>
          <w:rFonts w:ascii="Calibri" w:eastAsia="Calibri" w:hAnsi="Calibri" w:cs="Calibri"/>
          <w:sz w:val="22"/>
          <w:szCs w:val="22"/>
          <w:bdr w:val="none" w:sz="0" w:space="0" w:color="auto"/>
          <w:lang w:val="fr-FR"/>
        </w:rPr>
      </w:pPr>
      <w:r w:rsidRPr="00F36544">
        <w:rPr>
          <w:rFonts w:ascii="Calibri" w:eastAsia="Calibri" w:hAnsi="Calibri" w:cs="Calibri"/>
          <w:sz w:val="22"/>
          <w:szCs w:val="22"/>
          <w:bdr w:val="none" w:sz="0" w:space="0" w:color="auto"/>
          <w:lang w:val="fr-FR"/>
        </w:rPr>
        <w:t>Visites à domicile des aides-soignantes ou de tout autre acteur d’une chaîne de prise en charge coordonnée (médico-social et social) : mise à jour des services de coordination de parcours, accès à la MSS</w:t>
      </w:r>
    </w:p>
    <w:p w14:paraId="3BD8DFDB" w14:textId="77777777" w:rsidR="00D900BB" w:rsidRDefault="00D900BB" w:rsidP="009C2F74">
      <w:pPr>
        <w:rPr>
          <w:rFonts w:ascii="Calibri" w:eastAsia="Calibri" w:hAnsi="Calibri" w:cs="Calibri"/>
          <w:sz w:val="22"/>
          <w:szCs w:val="22"/>
        </w:rPr>
      </w:pPr>
    </w:p>
    <w:p w14:paraId="0A10A3D6" w14:textId="77777777" w:rsidR="00D900BB" w:rsidRPr="009248B2" w:rsidRDefault="00D900BB" w:rsidP="009C2F7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Activités réalisées par les professionnels depuis leur propre domicile (ou tout autre lieu « non médical ») : accès aux dossiers de leurs patients, suivi des programmes de prévention de leurs patients, traitement des messages MSS, pratiques de téléconsultation, accès au DMP</w:t>
      </w:r>
    </w:p>
    <w:p w14:paraId="3B6A02F6" w14:textId="77777777" w:rsidR="00D900BB" w:rsidRDefault="00D900BB" w:rsidP="009C2F74">
      <w:pPr>
        <w:rPr>
          <w:rFonts w:ascii="Calibri" w:eastAsia="Calibri" w:hAnsi="Calibri" w:cs="Calibri"/>
          <w:sz w:val="22"/>
          <w:szCs w:val="22"/>
        </w:rPr>
      </w:pPr>
    </w:p>
    <w:p w14:paraId="6D007660" w14:textId="77777777" w:rsidR="00D900BB" w:rsidRPr="009248B2" w:rsidRDefault="00D900BB" w:rsidP="009C2F7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 xml:space="preserve">Secrétaires médicales, remplaçants médicaux ou </w:t>
      </w:r>
      <w:r w:rsidRPr="009248B2">
        <w:rPr>
          <w:rFonts w:ascii="Calibri" w:eastAsia="Calibri" w:hAnsi="Calibri" w:cs="Calibri"/>
          <w:sz w:val="22"/>
          <w:szCs w:val="22"/>
          <w:u w:val="single"/>
          <w:bdr w:val="none" w:sz="0" w:space="0" w:color="auto"/>
          <w:lang w:val="fr-FR"/>
        </w:rPr>
        <w:t>assistants médicaux</w:t>
      </w:r>
      <w:r w:rsidRPr="009248B2">
        <w:rPr>
          <w:rFonts w:ascii="Calibri" w:eastAsia="Calibri" w:hAnsi="Calibri" w:cs="Calibri"/>
          <w:sz w:val="22"/>
          <w:szCs w:val="22"/>
          <w:bdr w:val="none" w:sz="0" w:space="0" w:color="auto"/>
          <w:lang w:val="fr-FR"/>
        </w:rPr>
        <w:t xml:space="preserve"> agissant en délégation de tâche d’un médecin et ne disposant pas d’une carte physique d’authentification</w:t>
      </w:r>
    </w:p>
    <w:p w14:paraId="45CA2701" w14:textId="77777777" w:rsidR="00D900BB" w:rsidRDefault="00D900BB" w:rsidP="009C2F74">
      <w:pPr>
        <w:rPr>
          <w:rFonts w:ascii="Calibri" w:eastAsia="Calibri" w:hAnsi="Calibri" w:cs="Calibri"/>
          <w:sz w:val="22"/>
          <w:szCs w:val="22"/>
        </w:rPr>
      </w:pPr>
    </w:p>
    <w:p w14:paraId="77471B04" w14:textId="77777777" w:rsidR="00D900BB" w:rsidRPr="009248B2" w:rsidRDefault="00D900BB" w:rsidP="009C2F7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Préparateurs pharmaceutiques : s’affranchir des contraintes actuelles liées aux lecteurs de cartes en officine, pour accéder au DMP ou à tout autre service externe nécessitant une authentification forte CPS</w:t>
      </w:r>
    </w:p>
    <w:p w14:paraId="7DE4577E" w14:textId="77777777" w:rsidR="00D900BB" w:rsidRDefault="00D900BB" w:rsidP="009C2F74">
      <w:pPr>
        <w:rPr>
          <w:rFonts w:ascii="Calibri" w:eastAsia="Calibri" w:hAnsi="Calibri" w:cs="Calibri"/>
          <w:sz w:val="22"/>
          <w:szCs w:val="22"/>
        </w:rPr>
      </w:pPr>
    </w:p>
    <w:p w14:paraId="3BFD8478" w14:textId="7FF46010" w:rsidR="00D900BB" w:rsidRPr="009248B2" w:rsidRDefault="00D900BB" w:rsidP="009C2F7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 xml:space="preserve">Pratiques de </w:t>
      </w:r>
      <w:r w:rsidR="00AC2D24">
        <w:rPr>
          <w:rFonts w:ascii="Calibri" w:eastAsia="Calibri" w:hAnsi="Calibri" w:cs="Calibri"/>
          <w:sz w:val="22"/>
          <w:szCs w:val="22"/>
          <w:bdr w:val="none" w:sz="0" w:space="0" w:color="auto"/>
          <w:lang w:val="fr-FR"/>
        </w:rPr>
        <w:t>télémédecine</w:t>
      </w:r>
      <w:r w:rsidR="00AC2D24" w:rsidRPr="009248B2">
        <w:rPr>
          <w:rFonts w:ascii="Calibri" w:eastAsia="Calibri" w:hAnsi="Calibri" w:cs="Calibri"/>
          <w:sz w:val="22"/>
          <w:szCs w:val="22"/>
          <w:bdr w:val="none" w:sz="0" w:space="0" w:color="auto"/>
          <w:lang w:val="fr-FR"/>
        </w:rPr>
        <w:t xml:space="preserve"> </w:t>
      </w:r>
      <w:r w:rsidRPr="009248B2">
        <w:rPr>
          <w:rFonts w:ascii="Calibri" w:eastAsia="Calibri" w:hAnsi="Calibri" w:cs="Calibri"/>
          <w:sz w:val="22"/>
          <w:szCs w:val="22"/>
          <w:bdr w:val="none" w:sz="0" w:space="0" w:color="auto"/>
          <w:lang w:val="fr-FR"/>
        </w:rPr>
        <w:t>en officine pharmaceutique</w:t>
      </w:r>
      <w:r>
        <w:rPr>
          <w:rFonts w:ascii="Calibri" w:eastAsia="Calibri" w:hAnsi="Calibri" w:cs="Calibri"/>
          <w:sz w:val="22"/>
          <w:szCs w:val="22"/>
          <w:bdr w:val="none" w:sz="0" w:space="0" w:color="auto"/>
          <w:lang w:val="fr-FR"/>
        </w:rPr>
        <w:t> : accompagnement des patients présents et support d’une téléconsultation avec un médecin distant, téléconsultation en propre au titre d’actes de suivi (observance, accompagnement patients, …)</w:t>
      </w:r>
    </w:p>
    <w:p w14:paraId="07CFC7A3" w14:textId="77777777" w:rsidR="00D900BB" w:rsidRDefault="00D900BB" w:rsidP="009C2F74">
      <w:pPr>
        <w:rPr>
          <w:rFonts w:ascii="Calibri" w:eastAsia="Calibri" w:hAnsi="Calibri" w:cs="Calibri"/>
          <w:sz w:val="22"/>
          <w:szCs w:val="22"/>
        </w:rPr>
      </w:pPr>
    </w:p>
    <w:p w14:paraId="492A7C1A" w14:textId="77777777" w:rsidR="00D900BB" w:rsidRPr="009248B2" w:rsidRDefault="00D900BB" w:rsidP="009C2F7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Personnels hospitaliers en situation d’accès aux services du SIH, ou à un service externe nécessitant une authentification forte (DMP) : favoriser l’usage d’une authentification forte compte tenu du déficit de déploiement des cartes CPS dans les établissements</w:t>
      </w:r>
    </w:p>
    <w:p w14:paraId="7DE7BAA6" w14:textId="77777777" w:rsidR="00D900BB" w:rsidRDefault="00D900BB" w:rsidP="009C2F74">
      <w:pPr>
        <w:rPr>
          <w:rFonts w:ascii="Calibri" w:eastAsia="Calibri" w:hAnsi="Calibri" w:cs="Calibri"/>
          <w:sz w:val="22"/>
          <w:szCs w:val="22"/>
        </w:rPr>
      </w:pPr>
    </w:p>
    <w:p w14:paraId="3DF05DE7" w14:textId="77777777" w:rsidR="00D900BB" w:rsidRPr="009248B2" w:rsidRDefault="00D900BB" w:rsidP="009C2F74">
      <w:pPr>
        <w:pStyle w:val="Paragraphedeliste"/>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Professionnels en situation de pratique d’un acte de télésoin</w:t>
      </w:r>
    </w:p>
    <w:p w14:paraId="494F3A76" w14:textId="77777777" w:rsidR="00D900BB" w:rsidRPr="009248B2" w:rsidRDefault="00D900BB" w:rsidP="009C2F7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ind w:left="1080"/>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Médecin pratiquant une téléconsultation à son propre domicile dans le cadre d’une organisation de travail aménagée à cet effet, ou sur un lieu de vacances</w:t>
      </w:r>
    </w:p>
    <w:p w14:paraId="7F82AF02" w14:textId="77777777" w:rsidR="00D900BB" w:rsidRPr="009248B2" w:rsidRDefault="00D900BB" w:rsidP="009C2F74">
      <w:pPr>
        <w:pStyle w:val="Paragraphedeliste"/>
        <w:numPr>
          <w:ilvl w:val="2"/>
          <w:numId w:val="10"/>
        </w:numPr>
        <w:pBdr>
          <w:top w:val="none" w:sz="0" w:space="0" w:color="auto"/>
          <w:left w:val="none" w:sz="0" w:space="0" w:color="auto"/>
          <w:bottom w:val="none" w:sz="0" w:space="0" w:color="auto"/>
          <w:right w:val="none" w:sz="0" w:space="0" w:color="auto"/>
          <w:between w:val="none" w:sz="0" w:space="0" w:color="auto"/>
          <w:bar w:val="none" w:sz="0" w:color="auto"/>
        </w:pBdr>
        <w:ind w:left="1080"/>
        <w:rPr>
          <w:rFonts w:ascii="Calibri" w:eastAsia="Calibri" w:hAnsi="Calibri" w:cs="Calibri"/>
          <w:sz w:val="22"/>
          <w:szCs w:val="22"/>
          <w:bdr w:val="none" w:sz="0" w:space="0" w:color="auto"/>
          <w:lang w:val="fr-FR"/>
        </w:rPr>
      </w:pPr>
      <w:r w:rsidRPr="009248B2">
        <w:rPr>
          <w:rFonts w:ascii="Calibri" w:eastAsia="Calibri" w:hAnsi="Calibri" w:cs="Calibri"/>
          <w:sz w:val="22"/>
          <w:szCs w:val="22"/>
          <w:bdr w:val="none" w:sz="0" w:space="0" w:color="auto"/>
          <w:lang w:val="fr-FR"/>
        </w:rPr>
        <w:t>Professionnel support d’une téléconsultation, depuis le domicile du patient (infirmière, kiné) ou en officine pharmaceutique</w:t>
      </w:r>
    </w:p>
    <w:p w14:paraId="5380E061" w14:textId="77777777" w:rsidR="00D900BB" w:rsidRDefault="00D900BB" w:rsidP="00D900BB">
      <w:pPr>
        <w:ind w:left="284"/>
        <w:rPr>
          <w:rFonts w:ascii="Calibri" w:eastAsia="Calibri" w:hAnsi="Calibri" w:cs="Calibri"/>
          <w:sz w:val="22"/>
          <w:szCs w:val="22"/>
        </w:rPr>
      </w:pPr>
    </w:p>
    <w:p w14:paraId="122CBE6F" w14:textId="77777777" w:rsidR="00D900BB" w:rsidRDefault="00D900BB" w:rsidP="00D900BB">
      <w:pPr>
        <w:ind w:left="284"/>
        <w:rPr>
          <w:rFonts w:ascii="Calibri" w:eastAsia="Calibri" w:hAnsi="Calibri" w:cs="Calibri"/>
          <w:sz w:val="22"/>
          <w:szCs w:val="22"/>
        </w:rPr>
      </w:pPr>
    </w:p>
    <w:p w14:paraId="70E78E9D" w14:textId="77777777" w:rsidR="00002BC3" w:rsidRDefault="00002BC3" w:rsidP="00D900BB">
      <w:pPr>
        <w:ind w:firstLine="720"/>
        <w:rPr>
          <w:rFonts w:ascii="Calibri" w:eastAsia="Calibri" w:hAnsi="Calibri" w:cs="Calibri"/>
          <w:sz w:val="22"/>
          <w:szCs w:val="22"/>
        </w:rPr>
      </w:pPr>
    </w:p>
    <w:p w14:paraId="6A85F2E5" w14:textId="77777777" w:rsidR="00002BC3" w:rsidRDefault="00002BC3" w:rsidP="00D900BB">
      <w:pPr>
        <w:ind w:firstLine="720"/>
        <w:rPr>
          <w:rFonts w:ascii="Calibri" w:eastAsia="Calibri" w:hAnsi="Calibri" w:cs="Calibri"/>
          <w:sz w:val="22"/>
          <w:szCs w:val="22"/>
        </w:rPr>
      </w:pPr>
    </w:p>
    <w:p w14:paraId="1272CE0B" w14:textId="77777777" w:rsidR="00002BC3" w:rsidRDefault="00002BC3" w:rsidP="00D900BB">
      <w:pPr>
        <w:ind w:firstLine="720"/>
        <w:rPr>
          <w:rFonts w:ascii="Calibri" w:eastAsia="Calibri" w:hAnsi="Calibri" w:cs="Calibri"/>
          <w:sz w:val="22"/>
          <w:szCs w:val="22"/>
        </w:rPr>
      </w:pPr>
    </w:p>
    <w:p w14:paraId="59926FF4" w14:textId="2FC422AB" w:rsidR="00D900BB" w:rsidRDefault="00D900BB" w:rsidP="00002BC3">
      <w:pPr>
        <w:ind w:firstLine="720"/>
        <w:rPr>
          <w:rFonts w:ascii="Calibri" w:eastAsia="Calibri" w:hAnsi="Calibri" w:cs="Calibri"/>
          <w:sz w:val="22"/>
          <w:szCs w:val="22"/>
        </w:rPr>
      </w:pPr>
      <w:r>
        <w:rPr>
          <w:rFonts w:ascii="Calibri" w:eastAsia="Calibri" w:hAnsi="Calibri" w:cs="Calibri"/>
          <w:sz w:val="22"/>
          <w:szCs w:val="22"/>
        </w:rPr>
        <w:lastRenderedPageBreak/>
        <w:t>Point de vigilance 1</w:t>
      </w:r>
    </w:p>
    <w:p w14:paraId="61DDD65B" w14:textId="77777777" w:rsidR="00D900BB" w:rsidRDefault="00D900BB" w:rsidP="00002BC3">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40512" behindDoc="0" locked="0" layoutInCell="1" allowOverlap="1" wp14:anchorId="2B840C57" wp14:editId="03DA3CE7">
            <wp:simplePos x="0" y="0"/>
            <wp:positionH relativeFrom="column">
              <wp:posOffset>148493</wp:posOffset>
            </wp:positionH>
            <wp:positionV relativeFrom="paragraph">
              <wp:posOffset>12700</wp:posOffset>
            </wp:positionV>
            <wp:extent cx="228600" cy="228600"/>
            <wp:effectExtent l="25400" t="12700" r="76200" b="63500"/>
            <wp:wrapNone/>
            <wp:docPr id="25" name="Graphique 25"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La majeure partie des actions réalisées par les PS, à l’exception de l’usage de la MSS, nécessitent une double lecture des cartes CPS et Vitale. Cette lecture se fait à partir d’un boitier à double fente, ou de dispositifs de lecture mobiles embarqués dans des tablettes (cover).</w:t>
      </w:r>
    </w:p>
    <w:p w14:paraId="16753E6C" w14:textId="77777777" w:rsidR="00D900BB" w:rsidRDefault="00D900BB" w:rsidP="00002BC3">
      <w:pPr>
        <w:ind w:left="720"/>
        <w:rPr>
          <w:rFonts w:ascii="Calibri" w:eastAsia="Calibri" w:hAnsi="Calibri" w:cs="Calibri"/>
          <w:sz w:val="22"/>
          <w:szCs w:val="22"/>
        </w:rPr>
      </w:pPr>
      <w:r>
        <w:rPr>
          <w:rFonts w:ascii="Calibri" w:eastAsia="Calibri" w:hAnsi="Calibri" w:cs="Calibri"/>
          <w:sz w:val="22"/>
          <w:szCs w:val="22"/>
        </w:rPr>
        <w:t>L’objectif de dématérialisation de la carte CPS suppose donc, si l’on souhaite s’affranchir du lecteur auquel elle est attachée, une dématérialisation conjointe de la carte Vitale du patient.</w:t>
      </w:r>
    </w:p>
    <w:p w14:paraId="2AE87526" w14:textId="77777777" w:rsidR="00D900BB" w:rsidRDefault="00D900BB" w:rsidP="00002BC3">
      <w:pPr>
        <w:ind w:left="720"/>
        <w:rPr>
          <w:rFonts w:ascii="Calibri" w:eastAsia="Calibri" w:hAnsi="Calibri" w:cs="Calibri"/>
          <w:sz w:val="22"/>
          <w:szCs w:val="22"/>
        </w:rPr>
      </w:pPr>
      <w:r>
        <w:rPr>
          <w:rFonts w:ascii="Calibri" w:eastAsia="Calibri" w:hAnsi="Calibri" w:cs="Calibri"/>
          <w:sz w:val="22"/>
          <w:szCs w:val="22"/>
        </w:rPr>
        <w:t>A défaut, la possibilité de n’utiliser que les Webservices INS, après contrôle visuel des informations de la carte Vitale par le PS pour attester de l’identité du patient, doit être envisagée.</w:t>
      </w:r>
    </w:p>
    <w:p w14:paraId="32E30A52" w14:textId="77777777" w:rsidR="00D900BB" w:rsidRDefault="00D900BB" w:rsidP="00002BC3">
      <w:pPr>
        <w:ind w:left="284"/>
        <w:rPr>
          <w:rFonts w:ascii="Calibri" w:eastAsia="Calibri" w:hAnsi="Calibri" w:cs="Calibri"/>
          <w:sz w:val="22"/>
          <w:szCs w:val="22"/>
        </w:rPr>
      </w:pPr>
    </w:p>
    <w:p w14:paraId="4B0FCB9F" w14:textId="77777777" w:rsidR="00D900BB" w:rsidRDefault="00D900BB" w:rsidP="00002BC3">
      <w:pPr>
        <w:ind w:left="284"/>
        <w:rPr>
          <w:rFonts w:ascii="Calibri" w:eastAsia="Calibri" w:hAnsi="Calibri" w:cs="Calibri"/>
          <w:sz w:val="22"/>
          <w:szCs w:val="22"/>
        </w:rPr>
      </w:pPr>
    </w:p>
    <w:p w14:paraId="380378D1" w14:textId="77777777" w:rsidR="00D900BB" w:rsidRDefault="00D900BB" w:rsidP="00002BC3">
      <w:pPr>
        <w:ind w:firstLine="720"/>
        <w:rPr>
          <w:rFonts w:ascii="Calibri" w:eastAsia="Calibri" w:hAnsi="Calibri" w:cs="Calibri"/>
          <w:sz w:val="22"/>
          <w:szCs w:val="22"/>
        </w:rPr>
      </w:pPr>
      <w:r>
        <w:rPr>
          <w:rFonts w:ascii="Calibri" w:eastAsia="Calibri" w:hAnsi="Calibri" w:cs="Calibri"/>
          <w:sz w:val="22"/>
          <w:szCs w:val="22"/>
        </w:rPr>
        <w:t>Point de vigilance 2</w:t>
      </w:r>
    </w:p>
    <w:p w14:paraId="783EAC89" w14:textId="77777777" w:rsidR="00D900BB" w:rsidRDefault="00D900BB" w:rsidP="00002BC3">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41536" behindDoc="0" locked="0" layoutInCell="1" allowOverlap="1" wp14:anchorId="665F0E7B" wp14:editId="67BB7719">
            <wp:simplePos x="0" y="0"/>
            <wp:positionH relativeFrom="column">
              <wp:posOffset>131445</wp:posOffset>
            </wp:positionH>
            <wp:positionV relativeFrom="paragraph">
              <wp:posOffset>50800</wp:posOffset>
            </wp:positionV>
            <wp:extent cx="228600" cy="228600"/>
            <wp:effectExtent l="25400" t="12700" r="76200" b="63500"/>
            <wp:wrapNone/>
            <wp:docPr id="26" name="Graphique 26"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Nombre d’usages des services d’authentification dématérialisés sont appelés à être réalisés par des professionnels n’appartenant pas nécessairement à une profession à ordre.</w:t>
      </w:r>
    </w:p>
    <w:p w14:paraId="176DEFF8" w14:textId="77777777" w:rsidR="00D900BB" w:rsidRDefault="00D900BB" w:rsidP="00002BC3">
      <w:pPr>
        <w:ind w:left="720"/>
        <w:rPr>
          <w:rFonts w:ascii="Calibri" w:eastAsia="Calibri" w:hAnsi="Calibri" w:cs="Calibri"/>
          <w:sz w:val="22"/>
          <w:szCs w:val="22"/>
        </w:rPr>
      </w:pPr>
      <w:r>
        <w:rPr>
          <w:rFonts w:ascii="Calibri" w:eastAsia="Calibri" w:hAnsi="Calibri" w:cs="Calibri"/>
          <w:sz w:val="22"/>
          <w:szCs w:val="22"/>
        </w:rPr>
        <w:t>Dans la mesure où le service e-CPS est attaché à l’annuaire CPS, les dispositions suivantes doivent être adoptées pour lever les freins actuels.</w:t>
      </w:r>
    </w:p>
    <w:p w14:paraId="6F9BBBA8" w14:textId="77777777" w:rsidR="00D900BB" w:rsidRDefault="00D900BB" w:rsidP="00002BC3">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004"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Dispositions législatives ou règlementaires permettant d’étendre l’annuaire CPS à d’autres catégories de professionnels que celles rattachées à un ordre</w:t>
      </w:r>
    </w:p>
    <w:p w14:paraId="447B0F92" w14:textId="77777777" w:rsidR="00D900BB" w:rsidRDefault="00D900BB" w:rsidP="00002BC3">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004"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Mise à jour du référentiel d’authentification de la PGSSI-S</w:t>
      </w:r>
    </w:p>
    <w:p w14:paraId="1F438A4A" w14:textId="1D519379" w:rsidR="00D900BB" w:rsidRPr="00D46B85" w:rsidRDefault="00D900BB" w:rsidP="00002BC3">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004" w:hanging="284"/>
        <w:rPr>
          <w:rFonts w:ascii="Calibri" w:eastAsia="Calibri" w:hAnsi="Calibri" w:cs="Calibri"/>
          <w:sz w:val="22"/>
          <w:szCs w:val="22"/>
          <w:lang w:val="fr-FR"/>
        </w:rPr>
      </w:pPr>
      <w:r w:rsidRPr="00D900BB">
        <w:rPr>
          <w:rFonts w:ascii="Calibri" w:eastAsia="Calibri" w:hAnsi="Calibri" w:cs="Calibri"/>
          <w:sz w:val="22"/>
          <w:szCs w:val="22"/>
          <w:bdr w:val="none" w:sz="0" w:space="0" w:color="auto"/>
          <w:lang w:val="fr-FR"/>
        </w:rPr>
        <w:t>Adaptation de la matrice d’habilitation d</w:t>
      </w:r>
      <w:r w:rsidR="00D46B85">
        <w:rPr>
          <w:rFonts w:ascii="Calibri" w:eastAsia="Calibri" w:hAnsi="Calibri" w:cs="Calibri"/>
          <w:sz w:val="22"/>
          <w:szCs w:val="22"/>
          <w:bdr w:val="none" w:sz="0" w:space="0" w:color="auto"/>
          <w:lang w:val="fr-FR"/>
        </w:rPr>
        <w:t>es services régaliens tels que le DMP.</w:t>
      </w:r>
    </w:p>
    <w:p w14:paraId="740346F1" w14:textId="77777777" w:rsidR="00D900BB" w:rsidRDefault="00D900BB" w:rsidP="00002BC3">
      <w:pPr>
        <w:ind w:left="568"/>
        <w:rPr>
          <w:rFonts w:ascii="Calibri" w:eastAsia="Calibri" w:hAnsi="Calibri" w:cs="Calibri"/>
          <w:sz w:val="22"/>
          <w:szCs w:val="22"/>
        </w:rPr>
      </w:pPr>
    </w:p>
    <w:p w14:paraId="7D1CF2CD" w14:textId="05AA5ECB" w:rsidR="00D900BB" w:rsidRPr="00914819" w:rsidRDefault="00D900BB" w:rsidP="00002BC3">
      <w:pPr>
        <w:rPr>
          <w:rFonts w:ascii="Calibri" w:eastAsia="Calibri" w:hAnsi="Calibri" w:cs="Calibri"/>
          <w:sz w:val="22"/>
          <w:szCs w:val="22"/>
        </w:rPr>
      </w:pPr>
      <w:r>
        <w:rPr>
          <w:rFonts w:ascii="Calibri" w:eastAsia="Calibri" w:hAnsi="Calibri" w:cs="Calibri"/>
          <w:sz w:val="22"/>
          <w:szCs w:val="22"/>
        </w:rPr>
        <w:t>Au regard des contraintes à lever, les usages qui nous paraissent les plus à même de mobiliser l’adhésion des professionnels et des industriels à court terme sont les suivants.</w:t>
      </w:r>
    </w:p>
    <w:p w14:paraId="5A9B8BF8" w14:textId="77777777" w:rsidR="00D900BB" w:rsidRDefault="00D900BB" w:rsidP="00002BC3">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Authentification des professionnels en établissement hospitalier</w:t>
      </w:r>
    </w:p>
    <w:p w14:paraId="1C559FB5" w14:textId="77777777" w:rsidR="00D900BB" w:rsidRDefault="00D900BB" w:rsidP="00002BC3">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Activités réalisées par les professionnels depuis leur domicile, pour des patients dont ils assurent déjà la gestion du dossier (pas de nécessité d’usage de la carte Vitale, les patients étant connus et enregistrés dans la base médicale du médecin)</w:t>
      </w:r>
    </w:p>
    <w:p w14:paraId="1BDCAAD6" w14:textId="77777777" w:rsidR="00D900BB" w:rsidRDefault="00D900BB" w:rsidP="00002BC3">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Réalisation d’un acte de téléconsultation hors du cabinet médical (domicile du médecin par exemple) ou d’une activité de télésoin au domicile du patient</w:t>
      </w:r>
    </w:p>
    <w:p w14:paraId="7B92A38A" w14:textId="77777777" w:rsidR="00D900BB" w:rsidRDefault="00D900BB" w:rsidP="00002BC3">
      <w:pPr>
        <w:pStyle w:val="Paragraphedeliste"/>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284" w:hanging="284"/>
        <w:rPr>
          <w:rFonts w:ascii="Calibri" w:eastAsia="Calibri" w:hAnsi="Calibri" w:cs="Calibri"/>
          <w:sz w:val="22"/>
          <w:szCs w:val="22"/>
          <w:bdr w:val="none" w:sz="0" w:space="0" w:color="auto"/>
          <w:lang w:val="fr-FR"/>
        </w:rPr>
      </w:pPr>
      <w:r>
        <w:rPr>
          <w:rFonts w:ascii="Calibri" w:eastAsia="Calibri" w:hAnsi="Calibri" w:cs="Calibri"/>
          <w:sz w:val="22"/>
          <w:szCs w:val="22"/>
          <w:bdr w:val="none" w:sz="0" w:space="0" w:color="auto"/>
          <w:lang w:val="fr-FR"/>
        </w:rPr>
        <w:t>Préparateurs en pharmacie dans un contexte d’accès au DMP en consultation ou en alimentation</w:t>
      </w:r>
    </w:p>
    <w:p w14:paraId="229F09A5" w14:textId="77777777" w:rsidR="00571079" w:rsidRDefault="00571079" w:rsidP="00914819">
      <w:pPr>
        <w:rPr>
          <w:rFonts w:ascii="Calibri" w:eastAsia="Calibri" w:hAnsi="Calibri" w:cs="Calibri"/>
          <w:sz w:val="22"/>
          <w:szCs w:val="22"/>
        </w:rPr>
      </w:pPr>
    </w:p>
    <w:p w14:paraId="28BD5BC0" w14:textId="77777777" w:rsidR="00571079" w:rsidRDefault="00571079" w:rsidP="00914819">
      <w:pPr>
        <w:rPr>
          <w:rFonts w:ascii="Calibri" w:eastAsia="Calibri" w:hAnsi="Calibri" w:cs="Calibri"/>
          <w:sz w:val="22"/>
          <w:szCs w:val="22"/>
        </w:rPr>
      </w:pPr>
    </w:p>
    <w:p w14:paraId="6D53B632" w14:textId="4B5CA3DD" w:rsidR="005A441D" w:rsidRPr="008642DC" w:rsidRDefault="005A441D" w:rsidP="005A441D">
      <w:pPr>
        <w:rPr>
          <w:rFonts w:ascii="Calibri" w:eastAsia="Calibri" w:hAnsi="Calibri" w:cs="Calibri"/>
          <w:sz w:val="22"/>
          <w:szCs w:val="22"/>
          <w:u w:val="single"/>
        </w:rPr>
      </w:pPr>
      <w:r>
        <w:rPr>
          <w:rFonts w:ascii="Calibri" w:eastAsia="Calibri" w:hAnsi="Calibri" w:cs="Calibri"/>
          <w:sz w:val="22"/>
          <w:szCs w:val="22"/>
          <w:u w:val="single"/>
        </w:rPr>
        <w:t>Identité numérique des usagers</w:t>
      </w:r>
    </w:p>
    <w:p w14:paraId="3F8196E6" w14:textId="77777777" w:rsidR="005A441D" w:rsidRDefault="005A441D" w:rsidP="005A441D">
      <w:pPr>
        <w:rPr>
          <w:rFonts w:ascii="Calibri" w:eastAsia="Calibri" w:hAnsi="Calibri" w:cs="Calibri"/>
          <w:sz w:val="22"/>
          <w:szCs w:val="22"/>
        </w:rPr>
      </w:pPr>
    </w:p>
    <w:p w14:paraId="19152F50" w14:textId="1E896101" w:rsidR="00EF568B" w:rsidRDefault="00EF568B" w:rsidP="00EF568B">
      <w:pPr>
        <w:spacing w:after="240"/>
        <w:rPr>
          <w:rFonts w:ascii="Calibri" w:eastAsia="Calibri" w:hAnsi="Calibri" w:cs="Calibri"/>
          <w:sz w:val="22"/>
          <w:szCs w:val="22"/>
        </w:rPr>
      </w:pPr>
      <w:r>
        <w:rPr>
          <w:rFonts w:ascii="Calibri" w:eastAsia="Calibri" w:hAnsi="Calibri" w:cs="Calibri"/>
          <w:sz w:val="22"/>
          <w:szCs w:val="22"/>
        </w:rPr>
        <w:t xml:space="preserve">Si la FEIMA salue positivement la démarche portée par la doctrine en matière d’identification des usagers, et tout particulièrement les perspectives qu’elle offre </w:t>
      </w:r>
      <w:r w:rsidR="001C4D64">
        <w:rPr>
          <w:rFonts w:ascii="Calibri" w:eastAsia="Calibri" w:hAnsi="Calibri" w:cs="Calibri"/>
          <w:sz w:val="22"/>
          <w:szCs w:val="22"/>
        </w:rPr>
        <w:t>en matière de sécurité génératrice de confiance, d’inclusion des usagers et de simplification de leurs démarches d’accès aux services numériques proposés</w:t>
      </w:r>
      <w:r>
        <w:rPr>
          <w:rFonts w:ascii="Calibri" w:eastAsia="Calibri" w:hAnsi="Calibri" w:cs="Calibri"/>
          <w:sz w:val="22"/>
          <w:szCs w:val="22"/>
        </w:rPr>
        <w:t>, elle souhaite néanmoins souligner les points suivants.</w:t>
      </w:r>
    </w:p>
    <w:p w14:paraId="5A41BED7" w14:textId="2491D157" w:rsidR="00F76A01" w:rsidRDefault="00FB2B37" w:rsidP="00EF568B">
      <w:pPr>
        <w:spacing w:after="24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54848" behindDoc="0" locked="0" layoutInCell="1" allowOverlap="1" wp14:anchorId="2618895B" wp14:editId="17F2A2BB">
            <wp:simplePos x="0" y="0"/>
            <wp:positionH relativeFrom="column">
              <wp:posOffset>-257378</wp:posOffset>
            </wp:positionH>
            <wp:positionV relativeFrom="paragraph">
              <wp:posOffset>1384300</wp:posOffset>
            </wp:positionV>
            <wp:extent cx="228600" cy="228600"/>
            <wp:effectExtent l="25400" t="12700" r="76200" b="63500"/>
            <wp:wrapNone/>
            <wp:docPr id="31" name="Graphique 3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1FE8">
        <w:rPr>
          <w:rFonts w:ascii="Calibri" w:eastAsia="Calibri" w:hAnsi="Calibri" w:cs="Calibri"/>
          <w:sz w:val="22"/>
          <w:szCs w:val="22"/>
        </w:rPr>
        <w:t>A ce stade, l’ApCV étant identifiée comme fournisseur d’identité de niveau substantiel de référence pour le secteur santé-social, nous considérons qu’il est essentiel d’étendre le périmètre actuel d’expérimentation, trop limité géographique</w:t>
      </w:r>
      <w:r w:rsidR="00F76A01">
        <w:rPr>
          <w:rFonts w:ascii="Calibri" w:eastAsia="Calibri" w:hAnsi="Calibri" w:cs="Calibri"/>
          <w:sz w:val="22"/>
          <w:szCs w:val="22"/>
        </w:rPr>
        <w:t>ment</w:t>
      </w:r>
      <w:r w:rsidR="00801FE8">
        <w:rPr>
          <w:rFonts w:ascii="Calibri" w:eastAsia="Calibri" w:hAnsi="Calibri" w:cs="Calibri"/>
          <w:sz w:val="22"/>
          <w:szCs w:val="22"/>
        </w:rPr>
        <w:t xml:space="preserve"> </w:t>
      </w:r>
      <w:r w:rsidR="00F76A01">
        <w:rPr>
          <w:rFonts w:ascii="Calibri" w:eastAsia="Calibri" w:hAnsi="Calibri" w:cs="Calibri"/>
          <w:sz w:val="22"/>
          <w:szCs w:val="22"/>
        </w:rPr>
        <w:t xml:space="preserve">à </w:t>
      </w:r>
      <w:r w:rsidR="00801FE8">
        <w:rPr>
          <w:rFonts w:ascii="Calibri" w:eastAsia="Calibri" w:hAnsi="Calibri" w:cs="Calibri"/>
          <w:sz w:val="22"/>
          <w:szCs w:val="22"/>
        </w:rPr>
        <w:t xml:space="preserve">quelques rares bassins d’expérimentation </w:t>
      </w:r>
      <w:r w:rsidR="00F76A01">
        <w:rPr>
          <w:rFonts w:ascii="Calibri" w:eastAsia="Calibri" w:hAnsi="Calibri" w:cs="Calibri"/>
          <w:sz w:val="22"/>
          <w:szCs w:val="22"/>
        </w:rPr>
        <w:t>ainsi que</w:t>
      </w:r>
      <w:r w:rsidR="00801FE8">
        <w:rPr>
          <w:rFonts w:ascii="Calibri" w:eastAsia="Calibri" w:hAnsi="Calibri" w:cs="Calibri"/>
          <w:sz w:val="22"/>
          <w:szCs w:val="22"/>
        </w:rPr>
        <w:t xml:space="preserve"> sur le périmètre d</w:t>
      </w:r>
      <w:r w:rsidR="00F76A01">
        <w:rPr>
          <w:rFonts w:ascii="Calibri" w:eastAsia="Calibri" w:hAnsi="Calibri" w:cs="Calibri"/>
          <w:sz w:val="22"/>
          <w:szCs w:val="22"/>
        </w:rPr>
        <w:t>’usages de services, pour être en mesure de générer la mobilisation des investissements portés par les éditeurs.</w:t>
      </w:r>
      <w:r w:rsidR="00F76A01">
        <w:rPr>
          <w:rFonts w:ascii="Calibri" w:eastAsia="Calibri" w:hAnsi="Calibri" w:cs="Calibri"/>
          <w:sz w:val="22"/>
          <w:szCs w:val="22"/>
        </w:rPr>
        <w:br/>
        <w:t>Le périmètre de services pouvant prendre appui sur ce dispositif d’identification doit impérativement s</w:t>
      </w:r>
      <w:r>
        <w:rPr>
          <w:rFonts w:ascii="Calibri" w:eastAsia="Calibri" w:hAnsi="Calibri" w:cs="Calibri"/>
          <w:sz w:val="22"/>
          <w:szCs w:val="22"/>
        </w:rPr>
        <w:t>’ouvrir à l’ensemble des situations d’usages auxquelles nous sommes confrontés et s’étendre à l’ensemble de la France qui constitue le périmètre géographique de déploiement de nos solutions.</w:t>
      </w:r>
      <w:r>
        <w:rPr>
          <w:rFonts w:ascii="Calibri" w:eastAsia="Calibri" w:hAnsi="Calibri" w:cs="Calibri"/>
          <w:sz w:val="22"/>
          <w:szCs w:val="22"/>
        </w:rPr>
        <w:br/>
        <w:t>A cet égard, les échéances présentées dans la synthèse des actions clés nous paraissent beaucoup trop lointaines (2021) pour atteindre les objectifs de mobilisation souhaités.</w:t>
      </w:r>
    </w:p>
    <w:p w14:paraId="65115461" w14:textId="79B00633" w:rsidR="00EF568B" w:rsidRDefault="00991990" w:rsidP="00EF568B">
      <w:pPr>
        <w:spacing w:after="24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56896" behindDoc="0" locked="0" layoutInCell="1" allowOverlap="1" wp14:anchorId="4CFFB13E" wp14:editId="59C0E2AE">
            <wp:simplePos x="0" y="0"/>
            <wp:positionH relativeFrom="column">
              <wp:posOffset>-277927</wp:posOffset>
            </wp:positionH>
            <wp:positionV relativeFrom="paragraph">
              <wp:posOffset>282575</wp:posOffset>
            </wp:positionV>
            <wp:extent cx="228600" cy="228600"/>
            <wp:effectExtent l="25400" t="12700" r="76200" b="63500"/>
            <wp:wrapNone/>
            <wp:docPr id="57" name="Graphique 5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E747B">
        <w:rPr>
          <w:rFonts w:ascii="Calibri" w:eastAsia="Calibri" w:hAnsi="Calibri" w:cs="Calibri"/>
          <w:sz w:val="22"/>
          <w:szCs w:val="22"/>
        </w:rPr>
        <w:t>La montée en charge des nouvelles dispositions décrites devant se faire légitimement de manière progressive par étapes successives, il conviendra d</w:t>
      </w:r>
      <w:r>
        <w:rPr>
          <w:rFonts w:ascii="Calibri" w:eastAsia="Calibri" w:hAnsi="Calibri" w:cs="Calibri"/>
          <w:sz w:val="22"/>
          <w:szCs w:val="22"/>
        </w:rPr>
        <w:t>e porter une attention particulière à la capacité des services numériques proposés, notamment ceux émanant de la sphère régalienne, à gérer de manière concomitante les différentes modalités d’identification.</w:t>
      </w:r>
    </w:p>
    <w:p w14:paraId="2142B583" w14:textId="446D2C16" w:rsidR="00EE0CAD" w:rsidRDefault="00EE0CAD">
      <w:pPr>
        <w:rPr>
          <w:rFonts w:ascii="Calibri" w:eastAsia="Calibri" w:hAnsi="Calibri" w:cs="Calibri"/>
          <w:sz w:val="22"/>
          <w:szCs w:val="22"/>
        </w:rPr>
      </w:pPr>
    </w:p>
    <w:p w14:paraId="7977E036" w14:textId="56ACF646" w:rsidR="00141CF4" w:rsidRDefault="00141CF4">
      <w:pPr>
        <w:rPr>
          <w:rFonts w:ascii="Calibri" w:eastAsia="Calibri" w:hAnsi="Calibri" w:cs="Calibr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141CF4" w:rsidRPr="00245C0F" w14:paraId="29240D6B" w14:textId="77777777" w:rsidTr="00F557C7">
        <w:tc>
          <w:tcPr>
            <w:tcW w:w="9628" w:type="dxa"/>
            <w:shd w:val="clear" w:color="auto" w:fill="0081A2"/>
          </w:tcPr>
          <w:p w14:paraId="1595657A" w14:textId="77777777" w:rsidR="00141CF4" w:rsidRPr="00245C0F" w:rsidRDefault="00141CF4" w:rsidP="00F557C7">
            <w:pPr>
              <w:jc w:val="center"/>
              <w:rPr>
                <w:rFonts w:ascii="Raleway" w:hAnsi="Raleway"/>
              </w:rPr>
            </w:pPr>
          </w:p>
          <w:p w14:paraId="1F62B770" w14:textId="6EB7DAAC" w:rsidR="00141CF4" w:rsidRPr="00245C0F" w:rsidRDefault="00141CF4" w:rsidP="00F557C7">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Identifiant National de Santé</w:t>
            </w:r>
          </w:p>
        </w:tc>
      </w:tr>
      <w:tr w:rsidR="00141CF4" w:rsidRPr="00245C0F" w14:paraId="5A927860" w14:textId="77777777" w:rsidTr="00F557C7">
        <w:tc>
          <w:tcPr>
            <w:tcW w:w="9628" w:type="dxa"/>
            <w:shd w:val="clear" w:color="auto" w:fill="0081A2"/>
          </w:tcPr>
          <w:p w14:paraId="67239185" w14:textId="77777777" w:rsidR="00141CF4" w:rsidRPr="00245C0F" w:rsidRDefault="00141CF4" w:rsidP="00F557C7">
            <w:pPr>
              <w:pStyle w:val="Corps"/>
              <w:rPr>
                <w:rFonts w:ascii="Raleway" w:hAnsi="Raleway"/>
              </w:rPr>
            </w:pPr>
          </w:p>
        </w:tc>
      </w:tr>
    </w:tbl>
    <w:p w14:paraId="0F51CC8F" w14:textId="502141D8" w:rsidR="00141CF4" w:rsidRDefault="00141CF4" w:rsidP="00914819">
      <w:pPr>
        <w:rPr>
          <w:rFonts w:ascii="Calibri" w:eastAsia="Calibri" w:hAnsi="Calibri" w:cs="Calibri"/>
          <w:sz w:val="22"/>
          <w:szCs w:val="22"/>
        </w:rPr>
      </w:pPr>
    </w:p>
    <w:p w14:paraId="75B5FE37" w14:textId="5ABEAC69" w:rsidR="00FF0D44" w:rsidRDefault="00351564" w:rsidP="003217ED">
      <w:pPr>
        <w:spacing w:after="240"/>
        <w:rPr>
          <w:rFonts w:ascii="Calibri" w:eastAsia="Calibri" w:hAnsi="Calibri" w:cs="Calibri"/>
          <w:sz w:val="22"/>
          <w:szCs w:val="22"/>
        </w:rPr>
      </w:pPr>
      <w:r w:rsidRPr="00914819">
        <w:rPr>
          <w:rFonts w:ascii="Calibri" w:eastAsia="Calibri" w:hAnsi="Calibri" w:cs="Calibri"/>
          <w:sz w:val="22"/>
          <w:szCs w:val="22"/>
        </w:rPr>
        <w:t>Clé de voute des échanges destinée à compléter l’INS-C que nous avions intégré dans les premières phases du DMP. Le premier TLSi publié par la CNAM est en cours d’intégration</w:t>
      </w:r>
      <w:r w:rsidR="00FF0D44">
        <w:rPr>
          <w:rFonts w:ascii="Calibri" w:eastAsia="Calibri" w:hAnsi="Calibri" w:cs="Calibri"/>
          <w:sz w:val="22"/>
          <w:szCs w:val="22"/>
        </w:rPr>
        <w:t xml:space="preserve"> par plusieurs éditeurs de la FEIMA</w:t>
      </w:r>
      <w:r w:rsidRPr="00914819">
        <w:rPr>
          <w:rFonts w:ascii="Calibri" w:eastAsia="Calibri" w:hAnsi="Calibri" w:cs="Calibri"/>
          <w:sz w:val="22"/>
          <w:szCs w:val="22"/>
        </w:rPr>
        <w:t xml:space="preserve">. Nous attendons </w:t>
      </w:r>
      <w:r w:rsidR="00FF0D44">
        <w:rPr>
          <w:rFonts w:ascii="Calibri" w:eastAsia="Calibri" w:hAnsi="Calibri" w:cs="Calibri"/>
          <w:sz w:val="22"/>
          <w:szCs w:val="22"/>
        </w:rPr>
        <w:t>la publication du second téléservice qu</w:t>
      </w:r>
      <w:r w:rsidRPr="00914819">
        <w:rPr>
          <w:rFonts w:ascii="Calibri" w:eastAsia="Calibri" w:hAnsi="Calibri" w:cs="Calibri"/>
          <w:sz w:val="22"/>
          <w:szCs w:val="22"/>
        </w:rPr>
        <w:t xml:space="preserve">i permettra de compléter le dispositif global de gestion. </w:t>
      </w:r>
    </w:p>
    <w:p w14:paraId="37AD3EC9" w14:textId="0DB004BF" w:rsidR="00351564" w:rsidRDefault="00E77AD0" w:rsidP="00351564">
      <w:pPr>
        <w:spacing w:after="240"/>
        <w:ind w:left="36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76000" behindDoc="0" locked="0" layoutInCell="1" allowOverlap="1" wp14:anchorId="0D077326" wp14:editId="32713EC5">
            <wp:simplePos x="0" y="0"/>
            <wp:positionH relativeFrom="column">
              <wp:posOffset>-44450</wp:posOffset>
            </wp:positionH>
            <wp:positionV relativeFrom="paragraph">
              <wp:posOffset>182880</wp:posOffset>
            </wp:positionV>
            <wp:extent cx="228600" cy="228600"/>
            <wp:effectExtent l="25400" t="12700" r="76200" b="63500"/>
            <wp:wrapNone/>
            <wp:docPr id="43" name="Graphique 43"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szCs w:val="22"/>
        </w:rPr>
        <w:drawing>
          <wp:anchor distT="0" distB="0" distL="114300" distR="114300" simplePos="0" relativeHeight="251778048" behindDoc="0" locked="0" layoutInCell="1" allowOverlap="1" wp14:anchorId="7F4DDC12" wp14:editId="0FB7D6BA">
            <wp:simplePos x="0" y="0"/>
            <wp:positionH relativeFrom="column">
              <wp:posOffset>-43962</wp:posOffset>
            </wp:positionH>
            <wp:positionV relativeFrom="paragraph">
              <wp:posOffset>777582</wp:posOffset>
            </wp:positionV>
            <wp:extent cx="228600" cy="228600"/>
            <wp:effectExtent l="25400" t="12700" r="76200" b="63500"/>
            <wp:wrapNone/>
            <wp:docPr id="44" name="Graphique 4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51564" w:rsidRPr="001872E7">
        <w:rPr>
          <w:rFonts w:ascii="Calibri" w:eastAsia="Calibri" w:hAnsi="Calibri" w:cs="Calibri"/>
          <w:sz w:val="22"/>
          <w:szCs w:val="22"/>
        </w:rPr>
        <w:br/>
      </w:r>
      <w:r w:rsidR="00351564" w:rsidRPr="00914819">
        <w:rPr>
          <w:rFonts w:ascii="Calibri" w:eastAsia="Calibri" w:hAnsi="Calibri" w:cs="Calibri"/>
          <w:sz w:val="22"/>
          <w:szCs w:val="22"/>
        </w:rPr>
        <w:t>La publication des textes qui permettront d’en faire un usage généralisé, au-delà de l’ouverture du DMP à l’ensemble des assurés, est attendue avec une impatience croissante.</w:t>
      </w:r>
      <w:r w:rsidR="00351564">
        <w:rPr>
          <w:rFonts w:ascii="Calibri" w:eastAsia="Calibri" w:hAnsi="Calibri" w:cs="Calibri"/>
          <w:sz w:val="22"/>
          <w:szCs w:val="22"/>
        </w:rPr>
        <w:t xml:space="preserve"> </w:t>
      </w:r>
      <w:r w:rsidR="00351564" w:rsidRPr="001872E7">
        <w:rPr>
          <w:rFonts w:ascii="Calibri" w:eastAsia="Calibri" w:hAnsi="Calibri" w:cs="Calibri"/>
          <w:sz w:val="22"/>
          <w:szCs w:val="22"/>
        </w:rPr>
        <w:br/>
      </w:r>
      <w:r w:rsidR="00351564" w:rsidRPr="00914819">
        <w:rPr>
          <w:rFonts w:ascii="Calibri" w:eastAsia="Calibri" w:hAnsi="Calibri" w:cs="Calibri"/>
          <w:sz w:val="22"/>
          <w:szCs w:val="22"/>
        </w:rPr>
        <w:br/>
        <w:t xml:space="preserve">La question qui se pose est celle de son adoption par l’ensemble des acteurs et de son intégration par l’ensemble des industriels. Il </w:t>
      </w:r>
      <w:r w:rsidR="00FF0D44">
        <w:rPr>
          <w:rFonts w:ascii="Calibri" w:eastAsia="Calibri" w:hAnsi="Calibri" w:cs="Calibri"/>
          <w:sz w:val="22"/>
          <w:szCs w:val="22"/>
        </w:rPr>
        <w:t>nous</w:t>
      </w:r>
      <w:r w:rsidR="00351564" w:rsidRPr="00914819">
        <w:rPr>
          <w:rFonts w:ascii="Calibri" w:eastAsia="Calibri" w:hAnsi="Calibri" w:cs="Calibri"/>
          <w:sz w:val="22"/>
          <w:szCs w:val="22"/>
        </w:rPr>
        <w:t xml:space="preserve"> semble qu’il s’agit là d’un élément fondamental du référentiel d’interopérabilité justifiant d’une opposabilité.</w:t>
      </w:r>
    </w:p>
    <w:p w14:paraId="70E85118" w14:textId="7BDC04ED" w:rsidR="00FF0D44" w:rsidRDefault="00FF0D44" w:rsidP="00351564">
      <w:pPr>
        <w:spacing w:after="240"/>
        <w:ind w:left="360"/>
        <w:rPr>
          <w:rFonts w:ascii="Calibri" w:eastAsia="Calibri" w:hAnsi="Calibri" w:cs="Calibri"/>
          <w:sz w:val="22"/>
          <w:szCs w:val="22"/>
        </w:rPr>
      </w:pPr>
      <w:r>
        <w:rPr>
          <w:rFonts w:ascii="Calibri" w:eastAsia="Calibri" w:hAnsi="Calibri" w:cs="Calibri"/>
          <w:sz w:val="22"/>
          <w:szCs w:val="22"/>
        </w:rPr>
        <w:t>Nous souhaitons par ailleurs que la phase transitoire accordée aux plateformes de rapprochement d’identités soit la plus courte possible afin d’être en mesure d’opérer des services d’échange prenant appui exclusivement sur l’INS.</w:t>
      </w:r>
    </w:p>
    <w:p w14:paraId="7EA8CFBD" w14:textId="77777777" w:rsidR="00FF0D44" w:rsidRPr="001872E7" w:rsidRDefault="00FF0D44" w:rsidP="00351564">
      <w:pPr>
        <w:spacing w:after="240"/>
        <w:ind w:left="360"/>
        <w:rPr>
          <w:rFonts w:ascii="Calibri" w:eastAsia="Calibri" w:hAnsi="Calibri" w:cs="Calibri"/>
          <w:sz w:val="22"/>
          <w:szCs w:val="22"/>
        </w:rPr>
      </w:pPr>
    </w:p>
    <w:p w14:paraId="26E7E8A4" w14:textId="267383DB" w:rsidR="00141CF4" w:rsidRDefault="00141CF4" w:rsidP="00914819">
      <w:pPr>
        <w:rPr>
          <w:rFonts w:ascii="Calibri" w:eastAsia="Calibri" w:hAnsi="Calibri" w:cs="Calibri"/>
          <w:sz w:val="22"/>
          <w:szCs w:val="22"/>
        </w:rPr>
      </w:pPr>
    </w:p>
    <w:p w14:paraId="389628EC" w14:textId="73ACC0B2" w:rsidR="009D6752" w:rsidRDefault="009D6752" w:rsidP="00914819">
      <w:pPr>
        <w:rPr>
          <w:rFonts w:ascii="Calibri" w:eastAsia="Calibri" w:hAnsi="Calibri" w:cs="Calibri"/>
          <w:sz w:val="22"/>
          <w:szCs w:val="22"/>
        </w:rPr>
      </w:pPr>
    </w:p>
    <w:p w14:paraId="45695A22" w14:textId="75B3B2B9" w:rsidR="009D6752" w:rsidRDefault="009D6752">
      <w:pPr>
        <w:pBdr>
          <w:top w:val="nil"/>
          <w:left w:val="nil"/>
          <w:bottom w:val="nil"/>
          <w:right w:val="nil"/>
          <w:between w:val="nil"/>
          <w:bar w:val="nil"/>
        </w:pBdr>
        <w:rPr>
          <w:rFonts w:ascii="Calibri" w:eastAsia="Calibri" w:hAnsi="Calibri" w:cs="Calibri"/>
          <w:sz w:val="22"/>
          <w:szCs w:val="22"/>
        </w:rPr>
      </w:pPr>
      <w:r>
        <w:rPr>
          <w:rFonts w:ascii="Calibri" w:eastAsia="Calibri" w:hAnsi="Calibri" w:cs="Calibri"/>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9D6752" w:rsidRPr="00245C0F" w14:paraId="3B90474A" w14:textId="77777777" w:rsidTr="007A0996">
        <w:tc>
          <w:tcPr>
            <w:tcW w:w="9628" w:type="dxa"/>
            <w:shd w:val="clear" w:color="auto" w:fill="0081A2"/>
          </w:tcPr>
          <w:p w14:paraId="6703E322" w14:textId="77777777" w:rsidR="009D6752" w:rsidRPr="00245C0F" w:rsidRDefault="009D6752" w:rsidP="007A0996">
            <w:pPr>
              <w:jc w:val="center"/>
              <w:rPr>
                <w:rFonts w:ascii="Raleway" w:hAnsi="Raleway"/>
              </w:rPr>
            </w:pPr>
          </w:p>
          <w:p w14:paraId="1B2D7FE5" w14:textId="41759CD0" w:rsidR="009D6752" w:rsidRPr="00245C0F" w:rsidRDefault="009D6752" w:rsidP="007A0996">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 xml:space="preserve"> Offre de santé (ROR)</w:t>
            </w:r>
          </w:p>
        </w:tc>
      </w:tr>
      <w:tr w:rsidR="009D6752" w:rsidRPr="00245C0F" w14:paraId="3EF47EFF" w14:textId="77777777" w:rsidTr="007A0996">
        <w:tc>
          <w:tcPr>
            <w:tcW w:w="9628" w:type="dxa"/>
            <w:shd w:val="clear" w:color="auto" w:fill="0081A2"/>
          </w:tcPr>
          <w:p w14:paraId="290BA638" w14:textId="77777777" w:rsidR="009D6752" w:rsidRPr="00245C0F" w:rsidRDefault="009D6752" w:rsidP="007A0996">
            <w:pPr>
              <w:pStyle w:val="Corps"/>
              <w:rPr>
                <w:rFonts w:ascii="Raleway" w:hAnsi="Raleway"/>
              </w:rPr>
            </w:pPr>
          </w:p>
        </w:tc>
      </w:tr>
    </w:tbl>
    <w:p w14:paraId="09DC6463" w14:textId="44B8CF82" w:rsidR="009D6752" w:rsidRDefault="009D6752" w:rsidP="00914819">
      <w:pPr>
        <w:rPr>
          <w:rFonts w:ascii="Calibri" w:eastAsia="Calibri" w:hAnsi="Calibri" w:cs="Calibri"/>
          <w:sz w:val="22"/>
          <w:szCs w:val="22"/>
        </w:rPr>
      </w:pPr>
    </w:p>
    <w:p w14:paraId="784CF502" w14:textId="2576CBA4" w:rsidR="003217ED" w:rsidRDefault="003217ED" w:rsidP="003217ED">
      <w:pPr>
        <w:spacing w:after="240"/>
        <w:rPr>
          <w:rFonts w:ascii="Calibri" w:eastAsia="Calibri" w:hAnsi="Calibri" w:cs="Calibri"/>
          <w:sz w:val="22"/>
          <w:szCs w:val="22"/>
        </w:rPr>
      </w:pPr>
      <w:r w:rsidRPr="00914819">
        <w:rPr>
          <w:rFonts w:ascii="Calibri" w:eastAsia="Calibri" w:hAnsi="Calibri" w:cs="Calibri"/>
          <w:sz w:val="22"/>
          <w:szCs w:val="22"/>
        </w:rPr>
        <w:t xml:space="preserve">Alors qu’il s’agit d’un sujet d’importance majeure à l’égard du développement de services à valeur ajoutée prenant appui sur les informations de ce répertoire (accès à la cartographie des ressources au  bénéfice du développement de services facilitant l’accès aux soins, l’orientation des patients), nous sommes </w:t>
      </w:r>
      <w:r>
        <w:rPr>
          <w:rFonts w:ascii="Calibri" w:eastAsia="Calibri" w:hAnsi="Calibri" w:cs="Calibri"/>
          <w:sz w:val="22"/>
          <w:szCs w:val="22"/>
        </w:rPr>
        <w:t xml:space="preserve">encore </w:t>
      </w:r>
      <w:r w:rsidRPr="00914819">
        <w:rPr>
          <w:rFonts w:ascii="Calibri" w:eastAsia="Calibri" w:hAnsi="Calibri" w:cs="Calibri"/>
          <w:sz w:val="22"/>
          <w:szCs w:val="22"/>
        </w:rPr>
        <w:t xml:space="preserve">confrontés aux écueils suivants qu’il </w:t>
      </w:r>
      <w:r>
        <w:rPr>
          <w:rFonts w:ascii="Calibri" w:eastAsia="Calibri" w:hAnsi="Calibri" w:cs="Calibri"/>
          <w:sz w:val="22"/>
          <w:szCs w:val="22"/>
        </w:rPr>
        <w:t>nous</w:t>
      </w:r>
      <w:r w:rsidRPr="00914819">
        <w:rPr>
          <w:rFonts w:ascii="Calibri" w:eastAsia="Calibri" w:hAnsi="Calibri" w:cs="Calibri"/>
          <w:sz w:val="22"/>
          <w:szCs w:val="22"/>
        </w:rPr>
        <w:t xml:space="preserve"> semble urgent de traiter pour parvenir à une mobilisation des acteurs porteurs d’offres logicielles.</w:t>
      </w:r>
      <w:r w:rsidRPr="00914819">
        <w:rPr>
          <w:rFonts w:ascii="Calibri" w:eastAsia="Calibri" w:hAnsi="Calibri" w:cs="Calibri"/>
          <w:sz w:val="22"/>
          <w:szCs w:val="22"/>
        </w:rPr>
        <w:br/>
        <w:t xml:space="preserve">Multiplicité des plateformes ROR : si les voies de la convergence entre les deux solutions existantes </w:t>
      </w:r>
      <w:r>
        <w:rPr>
          <w:rFonts w:ascii="Calibri" w:eastAsia="Calibri" w:hAnsi="Calibri" w:cs="Calibri"/>
          <w:sz w:val="22"/>
          <w:szCs w:val="22"/>
        </w:rPr>
        <w:t>font partie des orientations de la feuille de route</w:t>
      </w:r>
      <w:r w:rsidRPr="00914819">
        <w:rPr>
          <w:rFonts w:ascii="Calibri" w:eastAsia="Calibri" w:hAnsi="Calibri" w:cs="Calibri"/>
          <w:sz w:val="22"/>
          <w:szCs w:val="22"/>
        </w:rPr>
        <w:t xml:space="preserve">, nous sommes en attente de la publication de spécifications homogénéisées des web services qui permettront de réaliser les intégrations souhaitables : </w:t>
      </w:r>
    </w:p>
    <w:p w14:paraId="2F0CD120" w14:textId="700FF5A6" w:rsidR="003217ED" w:rsidRPr="00BC7074" w:rsidRDefault="003217ED" w:rsidP="003217ED">
      <w:pPr>
        <w:pStyle w:val="Paragraphedeliste"/>
        <w:numPr>
          <w:ilvl w:val="0"/>
          <w:numId w:val="19"/>
        </w:numPr>
        <w:spacing w:after="240"/>
        <w:rPr>
          <w:rFonts w:ascii="Calibri" w:eastAsia="Calibri" w:hAnsi="Calibri" w:cs="Calibri"/>
          <w:sz w:val="22"/>
          <w:szCs w:val="22"/>
          <w:lang w:val="fr-FR"/>
        </w:rPr>
      </w:pPr>
      <w:proofErr w:type="gramStart"/>
      <w:r w:rsidRPr="00BC7074">
        <w:rPr>
          <w:rFonts w:ascii="Calibri" w:eastAsia="Calibri" w:hAnsi="Calibri" w:cs="Calibri"/>
          <w:sz w:val="22"/>
          <w:szCs w:val="22"/>
          <w:lang w:val="fr-FR"/>
        </w:rPr>
        <w:t>alimentation</w:t>
      </w:r>
      <w:proofErr w:type="gramEnd"/>
      <w:r w:rsidRPr="00BC7074">
        <w:rPr>
          <w:rFonts w:ascii="Calibri" w:eastAsia="Calibri" w:hAnsi="Calibri" w:cs="Calibri"/>
          <w:sz w:val="22"/>
          <w:szCs w:val="22"/>
          <w:lang w:val="fr-FR"/>
        </w:rPr>
        <w:t xml:space="preserve"> des données sur le champ de l’ambulatoire par les outils des PS</w:t>
      </w:r>
      <w:r w:rsidR="00BC7074" w:rsidRPr="00BC7074">
        <w:rPr>
          <w:rFonts w:ascii="Calibri" w:eastAsia="Calibri" w:hAnsi="Calibri" w:cs="Calibri"/>
          <w:sz w:val="22"/>
          <w:szCs w:val="22"/>
          <w:lang w:val="fr-FR"/>
        </w:rPr>
        <w:t xml:space="preserve"> aux fins</w:t>
      </w:r>
      <w:r w:rsidR="00BC7074">
        <w:rPr>
          <w:rFonts w:ascii="Calibri" w:eastAsia="Calibri" w:hAnsi="Calibri" w:cs="Calibri"/>
          <w:sz w:val="22"/>
          <w:szCs w:val="22"/>
          <w:lang w:val="fr-FR"/>
        </w:rPr>
        <w:t xml:space="preserve"> d’alimentation des données couvrant le périmètre des structures de ville</w:t>
      </w:r>
      <w:r w:rsidRPr="00BC7074">
        <w:rPr>
          <w:rFonts w:ascii="Calibri" w:eastAsia="Calibri" w:hAnsi="Calibri" w:cs="Calibri"/>
          <w:sz w:val="22"/>
          <w:szCs w:val="22"/>
          <w:lang w:val="fr-FR"/>
        </w:rPr>
        <w:t xml:space="preserve">, </w:t>
      </w:r>
    </w:p>
    <w:p w14:paraId="609FE7BC" w14:textId="05EEB228" w:rsidR="003217ED" w:rsidRPr="003217ED" w:rsidRDefault="00BC7074" w:rsidP="003217ED">
      <w:pPr>
        <w:pStyle w:val="Paragraphedeliste"/>
        <w:numPr>
          <w:ilvl w:val="0"/>
          <w:numId w:val="19"/>
        </w:numPr>
        <w:spacing w:after="240"/>
        <w:rPr>
          <w:rFonts w:ascii="Calibri" w:eastAsia="Calibri" w:hAnsi="Calibri" w:cs="Calibri"/>
          <w:sz w:val="22"/>
          <w:szCs w:val="22"/>
          <w:lang w:val="fr-FR"/>
        </w:rPr>
      </w:pPr>
      <w:r>
        <w:rPr>
          <w:rFonts w:ascii="Calibri" w:eastAsia="Calibri" w:hAnsi="Calibri" w:cs="Calibri"/>
          <w:noProof/>
          <w:sz w:val="22"/>
          <w:szCs w:val="22"/>
          <w:lang w:val="fr-FR" w:eastAsia="fr-FR"/>
        </w:rPr>
        <w:drawing>
          <wp:anchor distT="0" distB="0" distL="114300" distR="114300" simplePos="0" relativeHeight="251848704" behindDoc="0" locked="0" layoutInCell="1" allowOverlap="1" wp14:anchorId="063D223B" wp14:editId="277C6226">
            <wp:simplePos x="0" y="0"/>
            <wp:positionH relativeFrom="column">
              <wp:posOffset>118019</wp:posOffset>
            </wp:positionH>
            <wp:positionV relativeFrom="paragraph">
              <wp:posOffset>574040</wp:posOffset>
            </wp:positionV>
            <wp:extent cx="348615" cy="348615"/>
            <wp:effectExtent l="0" t="12700" r="32385" b="45085"/>
            <wp:wrapNone/>
            <wp:docPr id="23" name="Graphique 23"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zIolAQ.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8615" cy="348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roofErr w:type="gramStart"/>
      <w:r w:rsidR="003217ED" w:rsidRPr="003217ED">
        <w:rPr>
          <w:rFonts w:ascii="Calibri" w:eastAsia="Calibri" w:hAnsi="Calibri" w:cs="Calibri"/>
          <w:sz w:val="22"/>
          <w:szCs w:val="22"/>
          <w:lang w:val="fr-FR"/>
        </w:rPr>
        <w:t>accès</w:t>
      </w:r>
      <w:proofErr w:type="gramEnd"/>
      <w:r w:rsidR="003217ED" w:rsidRPr="003217ED">
        <w:rPr>
          <w:rFonts w:ascii="Calibri" w:eastAsia="Calibri" w:hAnsi="Calibri" w:cs="Calibri"/>
          <w:sz w:val="22"/>
          <w:szCs w:val="22"/>
          <w:lang w:val="fr-FR"/>
        </w:rPr>
        <w:t xml:space="preserve"> aux données du ROR</w:t>
      </w:r>
      <w:r w:rsidR="003217ED">
        <w:rPr>
          <w:rFonts w:ascii="Calibri" w:eastAsia="Calibri" w:hAnsi="Calibri" w:cs="Calibri"/>
          <w:sz w:val="22"/>
          <w:szCs w:val="22"/>
          <w:lang w:val="fr-FR"/>
        </w:rPr>
        <w:t>, au-delà du périmètre mentionné dans le chapitre de la doctrine,</w:t>
      </w:r>
      <w:r w:rsidR="003217ED" w:rsidRPr="003217ED">
        <w:rPr>
          <w:rFonts w:ascii="Calibri" w:eastAsia="Calibri" w:hAnsi="Calibri" w:cs="Calibri"/>
          <w:sz w:val="22"/>
          <w:szCs w:val="22"/>
          <w:lang w:val="fr-FR"/>
        </w:rPr>
        <w:t xml:space="preserve"> afin de fournir des services permettant d’enrichir les offres numériques d’accès aux soins (annuaire des ressources, prise de RDV, …). </w:t>
      </w:r>
      <w:r>
        <w:rPr>
          <w:rFonts w:ascii="Calibri" w:eastAsia="Calibri" w:hAnsi="Calibri" w:cs="Calibri"/>
          <w:sz w:val="22"/>
          <w:szCs w:val="22"/>
          <w:lang w:val="fr-FR"/>
        </w:rPr>
        <w:br/>
        <w:t>Les éditeurs de la FEIMA souhaitent s’inscrire dès que possible dans une dynamique de test d’intégration des données du ROR sur la base des spécifications et de la politique d’accès définies dans la trajectoire.</w:t>
      </w:r>
    </w:p>
    <w:p w14:paraId="5793886E" w14:textId="0D694284" w:rsidR="003217ED" w:rsidRPr="003217ED" w:rsidRDefault="003217ED" w:rsidP="003217ED">
      <w:pPr>
        <w:spacing w:after="240"/>
        <w:rPr>
          <w:rFonts w:ascii="Calibri" w:eastAsia="Calibri" w:hAnsi="Calibri" w:cs="Calibri"/>
          <w:sz w:val="22"/>
          <w:szCs w:val="22"/>
        </w:rPr>
      </w:pPr>
      <w:r w:rsidRPr="003217ED">
        <w:rPr>
          <w:rFonts w:ascii="Calibri" w:eastAsia="Calibri" w:hAnsi="Calibri" w:cs="Calibri"/>
          <w:sz w:val="22"/>
          <w:szCs w:val="22"/>
        </w:rPr>
        <w:t>Si l’homogénéisation des solutions ROR existantes marque un premier pas positif, le modèle idéal serait néanmoins que le dispositif ne repose que sur une seule plateforme nationale.</w:t>
      </w:r>
    </w:p>
    <w:p w14:paraId="00FD8406" w14:textId="18BE8CD5" w:rsidR="009D6752" w:rsidRDefault="009D6752" w:rsidP="00914819">
      <w:pPr>
        <w:rPr>
          <w:rFonts w:ascii="Calibri" w:eastAsia="Calibri" w:hAnsi="Calibri" w:cs="Calibri"/>
          <w:sz w:val="22"/>
          <w:szCs w:val="22"/>
        </w:rPr>
      </w:pPr>
    </w:p>
    <w:p w14:paraId="612D9920" w14:textId="77777777" w:rsidR="009D6752" w:rsidRDefault="009D6752" w:rsidP="00914819">
      <w:pPr>
        <w:rPr>
          <w:rFonts w:ascii="Calibri" w:eastAsia="Calibri" w:hAnsi="Calibri" w:cs="Calibri"/>
          <w:sz w:val="22"/>
          <w:szCs w:val="22"/>
        </w:rPr>
      </w:pPr>
    </w:p>
    <w:p w14:paraId="5E3E12B1" w14:textId="0E5FF276" w:rsidR="00141CF4" w:rsidRDefault="00141CF4" w:rsidP="00914819">
      <w:pPr>
        <w:rPr>
          <w:rFonts w:ascii="Calibri" w:eastAsia="Calibri" w:hAnsi="Calibri" w:cs="Calibri"/>
          <w:sz w:val="22"/>
          <w:szCs w:val="22"/>
        </w:rPr>
      </w:pPr>
    </w:p>
    <w:p w14:paraId="11E54A66" w14:textId="2D584C7C" w:rsidR="009D6752" w:rsidRDefault="009D6752">
      <w:pPr>
        <w:pBdr>
          <w:top w:val="nil"/>
          <w:left w:val="nil"/>
          <w:bottom w:val="nil"/>
          <w:right w:val="nil"/>
          <w:between w:val="nil"/>
          <w:bar w:val="nil"/>
        </w:pBdr>
        <w:rPr>
          <w:rFonts w:ascii="Calibri" w:eastAsia="Calibri" w:hAnsi="Calibri" w:cs="Calibri"/>
          <w:sz w:val="22"/>
          <w:szCs w:val="22"/>
        </w:rPr>
      </w:pPr>
      <w:r>
        <w:rPr>
          <w:rFonts w:ascii="Calibri" w:eastAsia="Calibri" w:hAnsi="Calibri" w:cs="Calibri"/>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141CF4" w:rsidRPr="00245C0F" w14:paraId="52998DD8" w14:textId="77777777" w:rsidTr="00F557C7">
        <w:tc>
          <w:tcPr>
            <w:tcW w:w="9628" w:type="dxa"/>
            <w:shd w:val="clear" w:color="auto" w:fill="0081A2"/>
          </w:tcPr>
          <w:p w14:paraId="0523344B" w14:textId="77777777" w:rsidR="00141CF4" w:rsidRPr="00245C0F" w:rsidRDefault="00141CF4" w:rsidP="00F557C7">
            <w:pPr>
              <w:jc w:val="center"/>
              <w:rPr>
                <w:rFonts w:ascii="Raleway" w:hAnsi="Raleway"/>
              </w:rPr>
            </w:pPr>
          </w:p>
          <w:p w14:paraId="3299D553" w14:textId="6EDC23DD" w:rsidR="00141CF4" w:rsidRPr="00245C0F" w:rsidRDefault="00141CF4" w:rsidP="00F557C7">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Services Numériques Socles</w:t>
            </w:r>
          </w:p>
        </w:tc>
      </w:tr>
      <w:tr w:rsidR="00141CF4" w:rsidRPr="00245C0F" w14:paraId="1C3C6CD7" w14:textId="77777777" w:rsidTr="00F557C7">
        <w:tc>
          <w:tcPr>
            <w:tcW w:w="9628" w:type="dxa"/>
            <w:shd w:val="clear" w:color="auto" w:fill="0081A2"/>
          </w:tcPr>
          <w:p w14:paraId="67E37640" w14:textId="77777777" w:rsidR="00141CF4" w:rsidRPr="00245C0F" w:rsidRDefault="00141CF4" w:rsidP="00F557C7">
            <w:pPr>
              <w:pStyle w:val="Corps"/>
              <w:rPr>
                <w:rFonts w:ascii="Raleway" w:hAnsi="Raleway"/>
              </w:rPr>
            </w:pPr>
          </w:p>
        </w:tc>
      </w:tr>
    </w:tbl>
    <w:p w14:paraId="6AE46437" w14:textId="56E57901" w:rsidR="00141CF4" w:rsidRDefault="00141CF4" w:rsidP="00914819">
      <w:pPr>
        <w:rPr>
          <w:rFonts w:ascii="Calibri" w:eastAsia="Calibri" w:hAnsi="Calibri" w:cs="Calibri"/>
          <w:sz w:val="22"/>
          <w:szCs w:val="22"/>
        </w:rPr>
      </w:pPr>
    </w:p>
    <w:p w14:paraId="3C601246" w14:textId="48E59829" w:rsidR="00141CF4" w:rsidRDefault="00141CF4" w:rsidP="00914819">
      <w:pPr>
        <w:rPr>
          <w:rFonts w:ascii="Calibri" w:eastAsia="Calibri" w:hAnsi="Calibri" w:cs="Calibri"/>
          <w:sz w:val="22"/>
          <w:szCs w:val="22"/>
        </w:rPr>
      </w:pPr>
    </w:p>
    <w:p w14:paraId="71BDCED7" w14:textId="794C608B" w:rsidR="008E072F" w:rsidRPr="00FF0D44" w:rsidRDefault="008E072F" w:rsidP="008E072F">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Pr>
          <w:rFonts w:ascii="Calibri" w:eastAsia="Calibri" w:hAnsi="Calibri" w:cs="Calibri"/>
          <w:sz w:val="22"/>
          <w:szCs w:val="22"/>
          <w:u w:val="single"/>
          <w:bdr w:val="none" w:sz="0" w:space="0" w:color="auto"/>
          <w:lang w:val="fr-FR"/>
        </w:rPr>
        <w:t>Dossier Médical Partagé (DMP)</w:t>
      </w:r>
    </w:p>
    <w:p w14:paraId="19B500AC" w14:textId="77777777" w:rsidR="008E072F" w:rsidRDefault="008E072F" w:rsidP="008E072F">
      <w:pPr>
        <w:ind w:left="720"/>
        <w:rPr>
          <w:rFonts w:ascii="Calibri" w:eastAsia="Calibri" w:hAnsi="Calibri" w:cs="Calibri"/>
          <w:sz w:val="22"/>
          <w:szCs w:val="22"/>
        </w:rPr>
      </w:pPr>
    </w:p>
    <w:p w14:paraId="2B0B2E1E" w14:textId="764ABA46" w:rsidR="008E072F" w:rsidRDefault="00F52535" w:rsidP="008E072F">
      <w:pPr>
        <w:ind w:left="720"/>
        <w:rPr>
          <w:rFonts w:ascii="Calibri" w:eastAsia="Calibri" w:hAnsi="Calibri" w:cs="Calibri"/>
          <w:sz w:val="22"/>
          <w:szCs w:val="22"/>
        </w:rPr>
      </w:pPr>
      <w:r>
        <w:rPr>
          <w:rFonts w:ascii="Calibri" w:eastAsia="Calibri" w:hAnsi="Calibri" w:cs="Calibri"/>
          <w:sz w:val="22"/>
          <w:szCs w:val="22"/>
        </w:rPr>
        <w:t>La partie introductive du document présente l’usager comme acteur</w:t>
      </w:r>
      <w:r w:rsidR="001F1F8A">
        <w:rPr>
          <w:rFonts w:ascii="Calibri" w:eastAsia="Calibri" w:hAnsi="Calibri" w:cs="Calibri"/>
          <w:sz w:val="22"/>
          <w:szCs w:val="22"/>
        </w:rPr>
        <w:t xml:space="preserve"> en charge du stockage des documents produits par les professionnels assurant sa prise en charge (synthèse médicale comptes rendus, examens de biologie, …).</w:t>
      </w:r>
    </w:p>
    <w:p w14:paraId="2BD90F8F" w14:textId="57579856" w:rsidR="001F1F8A" w:rsidRDefault="00772E59" w:rsidP="008E072F">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58944" behindDoc="0" locked="0" layoutInCell="1" allowOverlap="1" wp14:anchorId="38435EBB" wp14:editId="55FA1A3B">
            <wp:simplePos x="0" y="0"/>
            <wp:positionH relativeFrom="column">
              <wp:posOffset>151562</wp:posOffset>
            </wp:positionH>
            <wp:positionV relativeFrom="paragraph">
              <wp:posOffset>182880</wp:posOffset>
            </wp:positionV>
            <wp:extent cx="228600" cy="228600"/>
            <wp:effectExtent l="25400" t="12700" r="76200" b="63500"/>
            <wp:wrapNone/>
            <wp:docPr id="58" name="Graphique 5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F1F8A">
        <w:rPr>
          <w:rFonts w:ascii="Calibri" w:eastAsia="Calibri" w:hAnsi="Calibri" w:cs="Calibri"/>
          <w:sz w:val="22"/>
          <w:szCs w:val="22"/>
        </w:rPr>
        <w:t>Il s’agit d’une présentation qui fait totalement abstraction du rôle clé qui est assuré par les professionnels et établissements en matière de production des documents mentionnés, ainsi que d’alimentation du DMP à partir des web services d’intégration qui ont été développés par les éditeurs pour assurer l’alimentation du DMP.</w:t>
      </w:r>
    </w:p>
    <w:p w14:paraId="07D82344" w14:textId="24ACA41F" w:rsidR="001F1F8A" w:rsidRDefault="001F1F8A" w:rsidP="008E072F">
      <w:pPr>
        <w:ind w:left="720"/>
        <w:rPr>
          <w:rFonts w:ascii="Calibri" w:eastAsia="Calibri" w:hAnsi="Calibri" w:cs="Calibri"/>
          <w:sz w:val="22"/>
          <w:szCs w:val="22"/>
        </w:rPr>
      </w:pPr>
      <w:r>
        <w:rPr>
          <w:rFonts w:ascii="Calibri" w:eastAsia="Calibri" w:hAnsi="Calibri" w:cs="Calibri"/>
          <w:sz w:val="22"/>
          <w:szCs w:val="22"/>
        </w:rPr>
        <w:t>Les chiffres présentés dans la page suivante en attestent d’ailleurs largement, les patients n’étant contributeur à cette alimentation qu’à hauteur de 7%.</w:t>
      </w:r>
    </w:p>
    <w:p w14:paraId="0E210458" w14:textId="60733329" w:rsidR="00A13269" w:rsidRDefault="00A13269" w:rsidP="008E072F">
      <w:pPr>
        <w:ind w:left="720"/>
        <w:rPr>
          <w:rFonts w:ascii="Calibri" w:eastAsia="Calibri" w:hAnsi="Calibri" w:cs="Calibri"/>
          <w:sz w:val="22"/>
          <w:szCs w:val="22"/>
        </w:rPr>
      </w:pPr>
    </w:p>
    <w:p w14:paraId="7F08E9D9" w14:textId="3CDF87DF" w:rsidR="00A13269" w:rsidRDefault="00A13269" w:rsidP="008E072F">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60992" behindDoc="0" locked="0" layoutInCell="1" allowOverlap="1" wp14:anchorId="0AA7C4EC" wp14:editId="3728E7D8">
            <wp:simplePos x="0" y="0"/>
            <wp:positionH relativeFrom="column">
              <wp:posOffset>152400</wp:posOffset>
            </wp:positionH>
            <wp:positionV relativeFrom="paragraph">
              <wp:posOffset>144577</wp:posOffset>
            </wp:positionV>
            <wp:extent cx="228600" cy="228600"/>
            <wp:effectExtent l="25400" t="12700" r="76200" b="63500"/>
            <wp:wrapNone/>
            <wp:docPr id="60" name="Graphique 60"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Le bilan sur les offres logicielles intégrant les fonctionnalités de DMP compatibilité de fait état que des fonctions d’alimentation et de consultation. Il convient d’ajouter les fonctions de création qui ont été développées par la majorité des éditeurs impliqués.</w:t>
      </w:r>
    </w:p>
    <w:p w14:paraId="6744F6F9" w14:textId="77777777" w:rsidR="00A13269" w:rsidRDefault="00A13269" w:rsidP="008E072F">
      <w:pPr>
        <w:ind w:left="720"/>
        <w:rPr>
          <w:rFonts w:ascii="Calibri" w:eastAsia="Calibri" w:hAnsi="Calibri" w:cs="Calibri"/>
          <w:sz w:val="22"/>
          <w:szCs w:val="22"/>
        </w:rPr>
      </w:pPr>
    </w:p>
    <w:p w14:paraId="3E7EA13C" w14:textId="41C548B0" w:rsidR="00A13269" w:rsidRDefault="00A13269" w:rsidP="008E072F">
      <w:pPr>
        <w:ind w:left="720"/>
        <w:rPr>
          <w:rFonts w:ascii="Calibri" w:eastAsia="Calibri" w:hAnsi="Calibri" w:cs="Calibri"/>
          <w:sz w:val="22"/>
          <w:szCs w:val="22"/>
        </w:rPr>
      </w:pPr>
      <w:r>
        <w:rPr>
          <w:rFonts w:ascii="Calibri" w:eastAsia="Calibri" w:hAnsi="Calibri" w:cs="Calibri"/>
          <w:sz w:val="22"/>
          <w:szCs w:val="22"/>
        </w:rPr>
        <w:t xml:space="preserve">Les actions menées en faveur d’une simplification des procédures d’authentification </w:t>
      </w:r>
      <w:r w:rsidR="004222CB">
        <w:rPr>
          <w:rFonts w:ascii="Calibri" w:eastAsia="Calibri" w:hAnsi="Calibri" w:cs="Calibri"/>
          <w:sz w:val="22"/>
          <w:szCs w:val="22"/>
        </w:rPr>
        <w:t>au sein des établissements de santé (dispositifs alternatifs à la carte CPS) devraient être en mesure de s’appliquer à d’autres situations d’usages, confrontées elles aussi à des difficultés similaires qui se traduisent par une démobilisation des professionnels concernés.</w:t>
      </w:r>
    </w:p>
    <w:p w14:paraId="48827136" w14:textId="37531213" w:rsidR="004222CB" w:rsidRDefault="004222CB" w:rsidP="008E072F">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63040" behindDoc="0" locked="0" layoutInCell="1" allowOverlap="1" wp14:anchorId="08E93D1F" wp14:editId="4F642348">
            <wp:simplePos x="0" y="0"/>
            <wp:positionH relativeFrom="column">
              <wp:posOffset>171653</wp:posOffset>
            </wp:positionH>
            <wp:positionV relativeFrom="paragraph">
              <wp:posOffset>12065</wp:posOffset>
            </wp:positionV>
            <wp:extent cx="228600" cy="228600"/>
            <wp:effectExtent l="25400" t="12700" r="76200" b="63500"/>
            <wp:wrapNone/>
            <wp:docPr id="61" name="Graphique 6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 xml:space="preserve">La FEIMA a soulevé ce problème à de multiples reprises dans le cadre des usages du DMP en officine pharmaceutique (consultation et alimentation en situation de délivrance), sans que les revendications exprimées n’aient été prises en compte. Le courrier adressé à la CNIL </w:t>
      </w:r>
      <w:r>
        <w:rPr>
          <w:rFonts w:ascii="Calibri" w:eastAsia="Calibri" w:hAnsi="Calibri" w:cs="Calibri"/>
          <w:sz w:val="22"/>
          <w:szCs w:val="22"/>
        </w:rPr>
        <w:t xml:space="preserve">en août 2019 </w:t>
      </w:r>
      <w:r>
        <w:rPr>
          <w:rFonts w:ascii="Calibri" w:eastAsia="Calibri" w:hAnsi="Calibri" w:cs="Calibri"/>
          <w:sz w:val="22"/>
          <w:szCs w:val="22"/>
        </w:rPr>
        <w:t>pour dénoncer les effets délétères constatés par les mécanismes de contournement mis en place pour pallier les difficultés rencontrées est resté à ce jour sans réponse.</w:t>
      </w:r>
    </w:p>
    <w:p w14:paraId="042C175A" w14:textId="13E9082C" w:rsidR="004222CB" w:rsidRDefault="004222CB" w:rsidP="008E072F">
      <w:pPr>
        <w:ind w:left="720"/>
        <w:rPr>
          <w:rFonts w:ascii="Calibri" w:eastAsia="Calibri" w:hAnsi="Calibri" w:cs="Calibri"/>
          <w:sz w:val="22"/>
          <w:szCs w:val="22"/>
        </w:rPr>
      </w:pPr>
      <w:r>
        <w:rPr>
          <w:rFonts w:ascii="Calibri" w:eastAsia="Calibri" w:hAnsi="Calibri" w:cs="Calibri"/>
          <w:sz w:val="22"/>
          <w:szCs w:val="22"/>
        </w:rPr>
        <w:t>Nous souhaitons que cette situation soit instruite dans les meilleurs délais afin que les blocages auxquels nous sommes confrontés puissent enfin être levés.</w:t>
      </w:r>
    </w:p>
    <w:p w14:paraId="546F5BB9" w14:textId="77777777" w:rsidR="004222CB" w:rsidRDefault="004222CB" w:rsidP="008E072F">
      <w:pPr>
        <w:ind w:left="720"/>
        <w:rPr>
          <w:rFonts w:ascii="Calibri" w:eastAsia="Calibri" w:hAnsi="Calibri" w:cs="Calibri"/>
          <w:sz w:val="22"/>
          <w:szCs w:val="22"/>
        </w:rPr>
      </w:pPr>
    </w:p>
    <w:p w14:paraId="5B7D56FF" w14:textId="1D4E00C7" w:rsidR="001F1F8A" w:rsidRDefault="00C17B70" w:rsidP="008E072F">
      <w:pPr>
        <w:ind w:left="720"/>
        <w:rPr>
          <w:rFonts w:ascii="Calibri" w:eastAsia="Calibri" w:hAnsi="Calibri" w:cs="Calibri"/>
          <w:sz w:val="22"/>
          <w:szCs w:val="22"/>
        </w:rPr>
      </w:pPr>
      <w:r>
        <w:rPr>
          <w:rFonts w:ascii="Calibri" w:eastAsia="Calibri" w:hAnsi="Calibri" w:cs="Calibri"/>
          <w:sz w:val="22"/>
          <w:szCs w:val="22"/>
        </w:rPr>
        <w:t>La FEIMA est en parfait accord avec la nécessité d’engager au plus vite des travaux règlementaires permettant d’élargir le périmètre d’usage du DMP à des acteurs qui ne font pas partie des professions à ordre.</w:t>
      </w:r>
    </w:p>
    <w:p w14:paraId="54809E58" w14:textId="7690CCDA" w:rsidR="00C17B70" w:rsidRDefault="00C17B70" w:rsidP="008E072F">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65088" behindDoc="0" locked="0" layoutInCell="1" allowOverlap="1" wp14:anchorId="2C0FC0E1" wp14:editId="5BB482DD">
            <wp:simplePos x="0" y="0"/>
            <wp:positionH relativeFrom="column">
              <wp:posOffset>189662</wp:posOffset>
            </wp:positionH>
            <wp:positionV relativeFrom="paragraph">
              <wp:posOffset>2540</wp:posOffset>
            </wp:positionV>
            <wp:extent cx="228600" cy="228600"/>
            <wp:effectExtent l="25400" t="12700" r="76200" b="63500"/>
            <wp:wrapNone/>
            <wp:docPr id="63" name="Graphique 63"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Il conviendra en parallèle de mener des travaux en faveur d’une évolution de la matrice des droits d’accès au DMP.</w:t>
      </w:r>
    </w:p>
    <w:p w14:paraId="6410CA01" w14:textId="73228484" w:rsidR="00C17B70" w:rsidRDefault="00C17B70" w:rsidP="008E072F">
      <w:pPr>
        <w:ind w:left="720"/>
        <w:rPr>
          <w:rFonts w:ascii="Calibri" w:eastAsia="Calibri" w:hAnsi="Calibri" w:cs="Calibri"/>
          <w:sz w:val="22"/>
          <w:szCs w:val="22"/>
        </w:rPr>
      </w:pPr>
    </w:p>
    <w:p w14:paraId="0E42BB56" w14:textId="19F22F5D" w:rsidR="00C17B70" w:rsidRDefault="0055476E" w:rsidP="008E072F">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67136" behindDoc="0" locked="0" layoutInCell="1" allowOverlap="1" wp14:anchorId="5097877C" wp14:editId="192C1FC3">
            <wp:simplePos x="0" y="0"/>
            <wp:positionH relativeFrom="column">
              <wp:posOffset>171653</wp:posOffset>
            </wp:positionH>
            <wp:positionV relativeFrom="paragraph">
              <wp:posOffset>332740</wp:posOffset>
            </wp:positionV>
            <wp:extent cx="228600" cy="228600"/>
            <wp:effectExtent l="25400" t="12700" r="76200" b="63500"/>
            <wp:wrapNone/>
            <wp:docPr id="64" name="Graphique 6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17B70">
        <w:rPr>
          <w:rFonts w:ascii="Calibri" w:eastAsia="Calibri" w:hAnsi="Calibri" w:cs="Calibri"/>
          <w:sz w:val="22"/>
          <w:szCs w:val="22"/>
        </w:rPr>
        <w:t xml:space="preserve">Au-delà </w:t>
      </w:r>
      <w:r>
        <w:rPr>
          <w:rFonts w:ascii="Calibri" w:eastAsia="Calibri" w:hAnsi="Calibri" w:cs="Calibri"/>
          <w:sz w:val="22"/>
          <w:szCs w:val="22"/>
        </w:rPr>
        <w:t xml:space="preserve">des </w:t>
      </w:r>
      <w:r w:rsidR="00C17B70">
        <w:rPr>
          <w:rFonts w:ascii="Calibri" w:eastAsia="Calibri" w:hAnsi="Calibri" w:cs="Calibri"/>
          <w:sz w:val="22"/>
          <w:szCs w:val="22"/>
        </w:rPr>
        <w:t>axes d’évolution mentionnés pour supporter les évolutions architecturales du DMP</w:t>
      </w:r>
      <w:r>
        <w:rPr>
          <w:rFonts w:ascii="Calibri" w:eastAsia="Calibri" w:hAnsi="Calibri" w:cs="Calibri"/>
          <w:sz w:val="22"/>
          <w:szCs w:val="22"/>
        </w:rPr>
        <w:t>,</w:t>
      </w:r>
      <w:r w:rsidR="00C17B70">
        <w:rPr>
          <w:rFonts w:ascii="Calibri" w:eastAsia="Calibri" w:hAnsi="Calibri" w:cs="Calibri"/>
          <w:sz w:val="22"/>
          <w:szCs w:val="22"/>
        </w:rPr>
        <w:t xml:space="preserve"> au bénéfice de l’émergence de services à valeur ajoutée</w:t>
      </w:r>
      <w:r>
        <w:rPr>
          <w:rFonts w:ascii="Calibri" w:eastAsia="Calibri" w:hAnsi="Calibri" w:cs="Calibri"/>
          <w:sz w:val="22"/>
          <w:szCs w:val="22"/>
        </w:rPr>
        <w:t xml:space="preserve"> produits par un écosystème d’acteurs industriels</w:t>
      </w:r>
      <w:r w:rsidR="00C17B70">
        <w:rPr>
          <w:rFonts w:ascii="Calibri" w:eastAsia="Calibri" w:hAnsi="Calibri" w:cs="Calibri"/>
          <w:sz w:val="22"/>
          <w:szCs w:val="22"/>
        </w:rPr>
        <w:t xml:space="preserve">, la FEIMA </w:t>
      </w:r>
      <w:r>
        <w:rPr>
          <w:rFonts w:ascii="Calibri" w:eastAsia="Calibri" w:hAnsi="Calibri" w:cs="Calibri"/>
          <w:sz w:val="22"/>
          <w:szCs w:val="22"/>
        </w:rPr>
        <w:t>souhaite que le DMP soit positionné de manière plus volontariste dans une logique de structuration croissante des données stockées et d’ouverture vers des services numériques tiers via des API.</w:t>
      </w:r>
    </w:p>
    <w:p w14:paraId="7B0FD2A8" w14:textId="4316BFA1" w:rsidR="000C3D26" w:rsidRDefault="000C3D26" w:rsidP="008E072F">
      <w:pPr>
        <w:ind w:left="720"/>
        <w:rPr>
          <w:rFonts w:ascii="Calibri" w:eastAsia="Calibri" w:hAnsi="Calibri" w:cs="Calibri"/>
          <w:sz w:val="22"/>
          <w:szCs w:val="22"/>
        </w:rPr>
      </w:pPr>
    </w:p>
    <w:p w14:paraId="5AC25323" w14:textId="399F5AC3" w:rsidR="000C3D26" w:rsidRDefault="000C3D26" w:rsidP="008E072F">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69184" behindDoc="0" locked="0" layoutInCell="1" allowOverlap="1" wp14:anchorId="2620777C" wp14:editId="491EF7DA">
            <wp:simplePos x="0" y="0"/>
            <wp:positionH relativeFrom="column">
              <wp:posOffset>190703</wp:posOffset>
            </wp:positionH>
            <wp:positionV relativeFrom="paragraph">
              <wp:posOffset>282575</wp:posOffset>
            </wp:positionV>
            <wp:extent cx="228600" cy="228600"/>
            <wp:effectExtent l="25400" t="12700" r="76200" b="63500"/>
            <wp:wrapNone/>
            <wp:docPr id="75" name="Graphique 75"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Les étapes et les échéances présentées dans la synthèse des actions clés, et pour lesquelles les membres de la FEIMA sont d’ores et déjà engagés aux côtés de la CNAM (carnet de vaccination, historique des remboursements), ne font pas état des évolutions architecturales du DMP. Il nous semble pourtant essentiel d’engager au plus vite des actions en faveur d’une structuration et d’une « </w:t>
      </w:r>
      <w:proofErr w:type="spellStart"/>
      <w:r>
        <w:rPr>
          <w:rFonts w:ascii="Calibri" w:eastAsia="Calibri" w:hAnsi="Calibri" w:cs="Calibri"/>
          <w:sz w:val="22"/>
          <w:szCs w:val="22"/>
        </w:rPr>
        <w:t>APIsation</w:t>
      </w:r>
      <w:proofErr w:type="spellEnd"/>
      <w:r>
        <w:rPr>
          <w:rFonts w:ascii="Calibri" w:eastAsia="Calibri" w:hAnsi="Calibri" w:cs="Calibri"/>
          <w:sz w:val="22"/>
          <w:szCs w:val="22"/>
        </w:rPr>
        <w:t> » du DMP.</w:t>
      </w:r>
    </w:p>
    <w:p w14:paraId="7233C930" w14:textId="4C5B74FC" w:rsidR="000C3D26" w:rsidRDefault="00903AC1" w:rsidP="008E072F">
      <w:pPr>
        <w:ind w:left="720"/>
        <w:rPr>
          <w:rFonts w:ascii="Calibri" w:eastAsia="Calibri" w:hAnsi="Calibri" w:cs="Calibri"/>
          <w:sz w:val="22"/>
          <w:szCs w:val="22"/>
        </w:rPr>
      </w:pPr>
      <w:r>
        <w:rPr>
          <w:rFonts w:ascii="Calibri" w:eastAsia="Calibri" w:hAnsi="Calibri" w:cs="Calibri"/>
          <w:sz w:val="22"/>
          <w:szCs w:val="22"/>
        </w:rPr>
        <w:t>La FEIMA souhaite que ces axes d’évolution soient intégrés dans le plan d’actions présenté dans la doctrine technique.</w:t>
      </w:r>
    </w:p>
    <w:p w14:paraId="61ADC10E" w14:textId="77777777" w:rsidR="008E072F" w:rsidRDefault="008E072F" w:rsidP="00914819">
      <w:pPr>
        <w:rPr>
          <w:rFonts w:ascii="Calibri" w:eastAsia="Calibri" w:hAnsi="Calibri" w:cs="Calibri"/>
          <w:sz w:val="22"/>
          <w:szCs w:val="22"/>
        </w:rPr>
      </w:pPr>
    </w:p>
    <w:p w14:paraId="2DB7F448" w14:textId="197F6E6F" w:rsidR="00141CF4" w:rsidRPr="00FF0D44" w:rsidRDefault="00141CF4" w:rsidP="00744E85">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sidRPr="00FF0D44">
        <w:rPr>
          <w:rFonts w:ascii="Calibri" w:eastAsia="Calibri" w:hAnsi="Calibri" w:cs="Calibri"/>
          <w:sz w:val="22"/>
          <w:szCs w:val="22"/>
          <w:u w:val="single"/>
          <w:bdr w:val="none" w:sz="0" w:space="0" w:color="auto"/>
          <w:lang w:val="fr-FR"/>
        </w:rPr>
        <w:t>MSSanté</w:t>
      </w:r>
    </w:p>
    <w:p w14:paraId="0EE3623E" w14:textId="0E3CD8F8" w:rsidR="00141CF4" w:rsidRDefault="00141CF4" w:rsidP="00FF0D44">
      <w:pPr>
        <w:ind w:left="720"/>
        <w:rPr>
          <w:rFonts w:ascii="Calibri" w:eastAsia="Calibri" w:hAnsi="Calibri" w:cs="Calibri"/>
          <w:sz w:val="22"/>
          <w:szCs w:val="22"/>
        </w:rPr>
      </w:pPr>
    </w:p>
    <w:p w14:paraId="4F5C48FB" w14:textId="51E18721" w:rsidR="00B82CA2" w:rsidRDefault="00B82CA2" w:rsidP="00FF0D44">
      <w:pPr>
        <w:ind w:left="720"/>
        <w:rPr>
          <w:rFonts w:ascii="Calibri" w:eastAsia="Calibri" w:hAnsi="Calibri" w:cs="Calibri"/>
          <w:sz w:val="22"/>
          <w:szCs w:val="22"/>
        </w:rPr>
      </w:pPr>
      <w:r>
        <w:rPr>
          <w:rFonts w:ascii="Calibri" w:eastAsia="Calibri" w:hAnsi="Calibri" w:cs="Calibri"/>
          <w:sz w:val="22"/>
          <w:szCs w:val="22"/>
        </w:rPr>
        <w:t>Nous considérons que la formulation « l’ANS est en charge de développer les messageries sécurisées de santé MSSanté » est inappropriée.</w:t>
      </w:r>
      <w:r w:rsidR="00E9024E">
        <w:rPr>
          <w:rFonts w:ascii="Calibri" w:eastAsia="Calibri" w:hAnsi="Calibri" w:cs="Calibri"/>
          <w:sz w:val="22"/>
          <w:szCs w:val="22"/>
        </w:rPr>
        <w:t xml:space="preserve"> Le rôle de l’ANS, outre la gestion de l’espace de confiance et le pilotage du déploiement en relation avec la CNAM, est de produire les spécifications techniques de référence applicables par un écosystème d’acteurs, opérateurs et éditeurs de clients de messagerie sécurisée.</w:t>
      </w:r>
    </w:p>
    <w:p w14:paraId="5409E0B8" w14:textId="19FEC39E" w:rsidR="00E9024E" w:rsidRDefault="00E9024E" w:rsidP="00FF0D44">
      <w:pPr>
        <w:ind w:left="720"/>
        <w:rPr>
          <w:rFonts w:ascii="Calibri" w:eastAsia="Calibri" w:hAnsi="Calibri" w:cs="Calibri"/>
          <w:sz w:val="22"/>
          <w:szCs w:val="22"/>
        </w:rPr>
      </w:pPr>
    </w:p>
    <w:p w14:paraId="5DA356E5" w14:textId="56C20C6D" w:rsidR="00E9024E" w:rsidRDefault="00E77AD0" w:rsidP="00FF0D44">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82144" behindDoc="0" locked="0" layoutInCell="1" allowOverlap="1" wp14:anchorId="11655FC4" wp14:editId="1E1D0F81">
            <wp:simplePos x="0" y="0"/>
            <wp:positionH relativeFrom="column">
              <wp:posOffset>169496</wp:posOffset>
            </wp:positionH>
            <wp:positionV relativeFrom="paragraph">
              <wp:posOffset>1869000</wp:posOffset>
            </wp:positionV>
            <wp:extent cx="228600" cy="228600"/>
            <wp:effectExtent l="25400" t="12700" r="76200" b="63500"/>
            <wp:wrapNone/>
            <wp:docPr id="46" name="Graphique 46"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szCs w:val="22"/>
        </w:rPr>
        <w:drawing>
          <wp:anchor distT="0" distB="0" distL="114300" distR="114300" simplePos="0" relativeHeight="251780096" behindDoc="0" locked="0" layoutInCell="1" allowOverlap="1" wp14:anchorId="2BD33301" wp14:editId="214B0AE7">
            <wp:simplePos x="0" y="0"/>
            <wp:positionH relativeFrom="column">
              <wp:posOffset>144096</wp:posOffset>
            </wp:positionH>
            <wp:positionV relativeFrom="paragraph">
              <wp:posOffset>128221</wp:posOffset>
            </wp:positionV>
            <wp:extent cx="228600" cy="228600"/>
            <wp:effectExtent l="25400" t="12700" r="76200" b="63500"/>
            <wp:wrapNone/>
            <wp:docPr id="45" name="Graphique 45"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9024E" w:rsidRPr="00914819">
        <w:rPr>
          <w:rFonts w:ascii="Calibri" w:eastAsia="Calibri" w:hAnsi="Calibri" w:cs="Calibri"/>
          <w:sz w:val="22"/>
          <w:szCs w:val="22"/>
        </w:rPr>
        <w:t xml:space="preserve">Les opérations que nous menons dans </w:t>
      </w:r>
      <w:r w:rsidR="00A80C50">
        <w:rPr>
          <w:rFonts w:ascii="Calibri" w:eastAsia="Calibri" w:hAnsi="Calibri" w:cs="Calibri"/>
          <w:sz w:val="22"/>
          <w:szCs w:val="22"/>
        </w:rPr>
        <w:t>le</w:t>
      </w:r>
      <w:r w:rsidR="00E9024E" w:rsidRPr="00914819">
        <w:rPr>
          <w:rFonts w:ascii="Calibri" w:eastAsia="Calibri" w:hAnsi="Calibri" w:cs="Calibri"/>
          <w:sz w:val="22"/>
          <w:szCs w:val="22"/>
        </w:rPr>
        <w:t xml:space="preserve"> cadre </w:t>
      </w:r>
      <w:r w:rsidR="00A80C50">
        <w:rPr>
          <w:rFonts w:ascii="Calibri" w:eastAsia="Calibri" w:hAnsi="Calibri" w:cs="Calibri"/>
          <w:sz w:val="22"/>
          <w:szCs w:val="22"/>
        </w:rPr>
        <w:t xml:space="preserve">du déploiement de services de messagerie sécurisée intégrés aux environnements de travail des professionnels de santé </w:t>
      </w:r>
      <w:r w:rsidR="00E9024E" w:rsidRPr="00914819">
        <w:rPr>
          <w:rFonts w:ascii="Calibri" w:eastAsia="Calibri" w:hAnsi="Calibri" w:cs="Calibri"/>
          <w:sz w:val="22"/>
          <w:szCs w:val="22"/>
        </w:rPr>
        <w:t xml:space="preserve">ont mis une fois de plus en lumière les problèmes auxquels nous sommes confrontés vis-à-vis de la solution Apicrypt, lesquels constituent un frein majeur au développement des usages. Plusieurs éditeurs de la FEIMA qui garantissaient jusqu’alors une intégration de la solution Apicrypt s’interrogent sur l’éventualité du maintien de cette solution dans leur catalogue de services intégrés. Interrogations d’autant plus fondées que les tergiversations de l’APICEM à rejoindre l’espace de confiance MSSanté durent depuis plusieurs années et qu’elles arrivent fin 2019 aux termes des </w:t>
      </w:r>
      <w:r w:rsidR="00E9024E">
        <w:rPr>
          <w:rFonts w:ascii="Calibri" w:eastAsia="Calibri" w:hAnsi="Calibri" w:cs="Calibri"/>
          <w:sz w:val="22"/>
          <w:szCs w:val="22"/>
        </w:rPr>
        <w:t>« </w:t>
      </w:r>
      <w:r w:rsidR="00E9024E" w:rsidRPr="00914819">
        <w:rPr>
          <w:rFonts w:ascii="Calibri" w:eastAsia="Calibri" w:hAnsi="Calibri" w:cs="Calibri"/>
          <w:sz w:val="22"/>
          <w:szCs w:val="22"/>
        </w:rPr>
        <w:t>largesses</w:t>
      </w:r>
      <w:r w:rsidR="00E9024E">
        <w:rPr>
          <w:rFonts w:ascii="Calibri" w:eastAsia="Calibri" w:hAnsi="Calibri" w:cs="Calibri"/>
          <w:sz w:val="22"/>
          <w:szCs w:val="22"/>
        </w:rPr>
        <w:t> »</w:t>
      </w:r>
      <w:r w:rsidR="00E9024E" w:rsidRPr="00914819">
        <w:rPr>
          <w:rFonts w:ascii="Calibri" w:eastAsia="Calibri" w:hAnsi="Calibri" w:cs="Calibri"/>
          <w:sz w:val="22"/>
          <w:szCs w:val="22"/>
        </w:rPr>
        <w:t xml:space="preserve"> accordées par l’Assurance Maladie vis-à-vis des critères de rémunération des indicateurs du forfait structure.</w:t>
      </w:r>
      <w:r w:rsidR="00E9024E" w:rsidRPr="00914819">
        <w:rPr>
          <w:rFonts w:ascii="Calibri" w:eastAsia="Calibri" w:hAnsi="Calibri" w:cs="Calibri"/>
          <w:sz w:val="22"/>
          <w:szCs w:val="22"/>
        </w:rPr>
        <w:br/>
      </w:r>
      <w:r w:rsidR="00E9024E" w:rsidRPr="00914819">
        <w:rPr>
          <w:rFonts w:ascii="Calibri" w:eastAsia="Calibri" w:hAnsi="Calibri" w:cs="Calibri"/>
          <w:sz w:val="22"/>
          <w:szCs w:val="22"/>
        </w:rPr>
        <w:br/>
        <w:t xml:space="preserve">Elles ont également mis en évidence les problèmes qui nous avions pointés depuis fort longtemps à l’égard des messageries développées et portées par </w:t>
      </w:r>
      <w:r w:rsidR="00E9024E">
        <w:rPr>
          <w:rFonts w:ascii="Calibri" w:eastAsia="Calibri" w:hAnsi="Calibri" w:cs="Calibri"/>
          <w:sz w:val="22"/>
          <w:szCs w:val="22"/>
        </w:rPr>
        <w:t xml:space="preserve">les </w:t>
      </w:r>
      <w:r w:rsidR="00E9024E" w:rsidRPr="00914819">
        <w:rPr>
          <w:rFonts w:ascii="Calibri" w:eastAsia="Calibri" w:hAnsi="Calibri" w:cs="Calibri"/>
          <w:sz w:val="22"/>
          <w:szCs w:val="22"/>
        </w:rPr>
        <w:t>GRADEs en région. Nombreuses sont celles qui ne sont pas rigoureusement conformes aux spécifications publiées par l’ASIP Santé sur le champ de</w:t>
      </w:r>
      <w:r w:rsidR="00E9024E">
        <w:rPr>
          <w:rFonts w:ascii="Calibri" w:eastAsia="Calibri" w:hAnsi="Calibri" w:cs="Calibri"/>
          <w:sz w:val="22"/>
          <w:szCs w:val="22"/>
        </w:rPr>
        <w:t>s</w:t>
      </w:r>
      <w:r w:rsidR="00E9024E" w:rsidRPr="00914819">
        <w:rPr>
          <w:rFonts w:ascii="Calibri" w:eastAsia="Calibri" w:hAnsi="Calibri" w:cs="Calibri"/>
          <w:sz w:val="22"/>
          <w:szCs w:val="22"/>
        </w:rPr>
        <w:t xml:space="preserve"> clients de messagerie et ne permettent donc pas d’offrir un service de qualité suffisante dans la perspective de leur intégration avec les LPS.</w:t>
      </w:r>
      <w:r w:rsidR="00E9024E" w:rsidRPr="00914819">
        <w:rPr>
          <w:rFonts w:ascii="Calibri" w:eastAsia="Calibri" w:hAnsi="Calibri" w:cs="Calibri"/>
          <w:sz w:val="22"/>
          <w:szCs w:val="22"/>
        </w:rPr>
        <w:br/>
        <w:t>Les éditeurs ne sont pas là pour cautionner la légitimité des investissements publics qui ont été mobilisés par plusieurs régions sur ce sujet, d’autant plus que les offres régionales qui en résultent se heurtent aux offres MSS portées par la sphère industrielle dans un contexte de concurrence totalement déloyal.</w:t>
      </w:r>
      <w:r w:rsidR="00E9024E" w:rsidRPr="00914819">
        <w:rPr>
          <w:rFonts w:ascii="Calibri" w:eastAsia="Calibri" w:hAnsi="Calibri" w:cs="Calibri"/>
          <w:sz w:val="22"/>
          <w:szCs w:val="22"/>
        </w:rPr>
        <w:br/>
        <w:t>La FEIMA est toutefois prête à rentrer dans une logique d’intégration de ses offres régionales</w:t>
      </w:r>
      <w:r w:rsidR="00E9024E">
        <w:rPr>
          <w:rFonts w:ascii="Calibri" w:eastAsia="Calibri" w:hAnsi="Calibri" w:cs="Calibri"/>
          <w:sz w:val="22"/>
          <w:szCs w:val="22"/>
        </w:rPr>
        <w:t>,</w:t>
      </w:r>
      <w:r w:rsidR="00E9024E" w:rsidRPr="00914819">
        <w:rPr>
          <w:rFonts w:ascii="Calibri" w:eastAsia="Calibri" w:hAnsi="Calibri" w:cs="Calibri"/>
          <w:sz w:val="22"/>
          <w:szCs w:val="22"/>
        </w:rPr>
        <w:t xml:space="preserve"> aux deux conditions suivantes. 1) </w:t>
      </w:r>
      <w:r w:rsidR="00E9024E">
        <w:rPr>
          <w:rFonts w:ascii="Calibri" w:eastAsia="Calibri" w:hAnsi="Calibri" w:cs="Calibri"/>
          <w:sz w:val="22"/>
          <w:szCs w:val="22"/>
        </w:rPr>
        <w:t>l</w:t>
      </w:r>
      <w:r w:rsidR="00E9024E" w:rsidRPr="00914819">
        <w:rPr>
          <w:rFonts w:ascii="Calibri" w:eastAsia="Calibri" w:hAnsi="Calibri" w:cs="Calibri"/>
          <w:sz w:val="22"/>
          <w:szCs w:val="22"/>
        </w:rPr>
        <w:t>eur mise en conformité dûment attestée vis-à-vis des spécification</w:t>
      </w:r>
      <w:r w:rsidR="00E9024E">
        <w:rPr>
          <w:rFonts w:ascii="Calibri" w:eastAsia="Calibri" w:hAnsi="Calibri" w:cs="Calibri"/>
          <w:sz w:val="22"/>
          <w:szCs w:val="22"/>
        </w:rPr>
        <w:t>s</w:t>
      </w:r>
      <w:r w:rsidR="00E9024E" w:rsidRPr="00914819">
        <w:rPr>
          <w:rFonts w:ascii="Calibri" w:eastAsia="Calibri" w:hAnsi="Calibri" w:cs="Calibri"/>
          <w:sz w:val="22"/>
          <w:szCs w:val="22"/>
        </w:rPr>
        <w:t xml:space="preserve"> « clients de messagerie » 2) </w:t>
      </w:r>
      <w:r w:rsidR="00E9024E">
        <w:rPr>
          <w:rFonts w:ascii="Calibri" w:eastAsia="Calibri" w:hAnsi="Calibri" w:cs="Calibri"/>
          <w:sz w:val="22"/>
          <w:szCs w:val="22"/>
        </w:rPr>
        <w:t>u</w:t>
      </w:r>
      <w:r w:rsidR="00E9024E" w:rsidRPr="00914819">
        <w:rPr>
          <w:rFonts w:ascii="Calibri" w:eastAsia="Calibri" w:hAnsi="Calibri" w:cs="Calibri"/>
          <w:sz w:val="22"/>
          <w:szCs w:val="22"/>
        </w:rPr>
        <w:t>n arrêt immédiat des démarches de promotion des GRADEs à l’égard de leurs outils, au bénéfice d’une liberté de choix des professionnels de santé.</w:t>
      </w:r>
    </w:p>
    <w:p w14:paraId="6D114E7B" w14:textId="4BFCBA3F" w:rsidR="00192919" w:rsidRDefault="00192919" w:rsidP="00FF0D44">
      <w:pPr>
        <w:ind w:left="720"/>
        <w:rPr>
          <w:rFonts w:ascii="Calibri" w:eastAsia="Calibri" w:hAnsi="Calibri" w:cs="Calibri"/>
          <w:sz w:val="22"/>
          <w:szCs w:val="22"/>
        </w:rPr>
      </w:pPr>
    </w:p>
    <w:p w14:paraId="3981DC94" w14:textId="44F095AF" w:rsidR="00192919" w:rsidRDefault="00E77AD0" w:rsidP="00FF0D44">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84192" behindDoc="0" locked="0" layoutInCell="1" allowOverlap="1" wp14:anchorId="31DC997B" wp14:editId="2AFDDCEC">
            <wp:simplePos x="0" y="0"/>
            <wp:positionH relativeFrom="column">
              <wp:posOffset>167054</wp:posOffset>
            </wp:positionH>
            <wp:positionV relativeFrom="paragraph">
              <wp:posOffset>1100357</wp:posOffset>
            </wp:positionV>
            <wp:extent cx="228600" cy="228600"/>
            <wp:effectExtent l="25400" t="12700" r="76200" b="63500"/>
            <wp:wrapNone/>
            <wp:docPr id="47" name="Graphique 4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2919" w:rsidRPr="00914819">
        <w:rPr>
          <w:rFonts w:ascii="Calibri" w:eastAsia="Calibri" w:hAnsi="Calibri" w:cs="Calibri"/>
          <w:sz w:val="22"/>
          <w:szCs w:val="22"/>
        </w:rPr>
        <w:t xml:space="preserve">Les </w:t>
      </w:r>
      <w:r w:rsidR="00192919">
        <w:rPr>
          <w:rFonts w:ascii="Calibri" w:eastAsia="Calibri" w:hAnsi="Calibri" w:cs="Calibri"/>
          <w:sz w:val="22"/>
          <w:szCs w:val="22"/>
        </w:rPr>
        <w:t>Lettres de Liaison (</w:t>
      </w:r>
      <w:r w:rsidR="00192919" w:rsidRPr="00914819">
        <w:rPr>
          <w:rFonts w:ascii="Calibri" w:eastAsia="Calibri" w:hAnsi="Calibri" w:cs="Calibri"/>
          <w:sz w:val="22"/>
          <w:szCs w:val="22"/>
        </w:rPr>
        <w:t>LDL</w:t>
      </w:r>
      <w:r w:rsidR="00192919">
        <w:rPr>
          <w:rFonts w:ascii="Calibri" w:eastAsia="Calibri" w:hAnsi="Calibri" w:cs="Calibri"/>
          <w:sz w:val="22"/>
          <w:szCs w:val="22"/>
        </w:rPr>
        <w:t>), support emblématique du décloisonnement Ville-Hôpital,</w:t>
      </w:r>
      <w:r w:rsidR="00192919" w:rsidRPr="00914819">
        <w:rPr>
          <w:rFonts w:ascii="Calibri" w:eastAsia="Calibri" w:hAnsi="Calibri" w:cs="Calibri"/>
          <w:sz w:val="22"/>
          <w:szCs w:val="22"/>
        </w:rPr>
        <w:t xml:space="preserve"> qui sont transmises par les </w:t>
      </w:r>
      <w:r w:rsidR="00192919">
        <w:rPr>
          <w:rFonts w:ascii="Calibri" w:eastAsia="Calibri" w:hAnsi="Calibri" w:cs="Calibri"/>
          <w:sz w:val="22"/>
          <w:szCs w:val="22"/>
        </w:rPr>
        <w:t>établissements hospitaliers</w:t>
      </w:r>
      <w:r w:rsidR="00192919" w:rsidRPr="00914819">
        <w:rPr>
          <w:rFonts w:ascii="Calibri" w:eastAsia="Calibri" w:hAnsi="Calibri" w:cs="Calibri"/>
          <w:sz w:val="22"/>
          <w:szCs w:val="22"/>
        </w:rPr>
        <w:t xml:space="preserve"> à leurs correspondants de ville via MSS</w:t>
      </w:r>
      <w:r w:rsidR="00192919">
        <w:rPr>
          <w:rFonts w:ascii="Calibri" w:eastAsia="Calibri" w:hAnsi="Calibri" w:cs="Calibri"/>
          <w:sz w:val="22"/>
          <w:szCs w:val="22"/>
        </w:rPr>
        <w:t>anté</w:t>
      </w:r>
      <w:r w:rsidR="00192919" w:rsidRPr="00914819">
        <w:rPr>
          <w:rFonts w:ascii="Calibri" w:eastAsia="Calibri" w:hAnsi="Calibri" w:cs="Calibri"/>
          <w:sz w:val="22"/>
          <w:szCs w:val="22"/>
        </w:rPr>
        <w:t xml:space="preserve"> ne permettent pas d’être intégrées automatiquement dans les dossiers patients par leurs </w:t>
      </w:r>
      <w:r w:rsidR="00192919">
        <w:rPr>
          <w:rFonts w:ascii="Calibri" w:eastAsia="Calibri" w:hAnsi="Calibri" w:cs="Calibri"/>
          <w:sz w:val="22"/>
          <w:szCs w:val="22"/>
        </w:rPr>
        <w:t>logiciels métier</w:t>
      </w:r>
      <w:r w:rsidR="00192919" w:rsidRPr="00914819">
        <w:rPr>
          <w:rFonts w:ascii="Calibri" w:eastAsia="Calibri" w:hAnsi="Calibri" w:cs="Calibri"/>
          <w:sz w:val="22"/>
          <w:szCs w:val="22"/>
        </w:rPr>
        <w:t>. Les entêtes de messages MSS ne sont en effet pas structurées (IHE-XDM + métadonnées CDA minimales) par les ETS. Il s’agit d’un écueil majeur qui freine toute adhésion des PS libéraux aux usages de la MSS.</w:t>
      </w:r>
      <w:r w:rsidR="00192919" w:rsidRPr="00914819">
        <w:rPr>
          <w:rFonts w:ascii="Calibri" w:eastAsia="Calibri" w:hAnsi="Calibri" w:cs="Calibri"/>
          <w:sz w:val="22"/>
          <w:szCs w:val="22"/>
        </w:rPr>
        <w:br/>
        <w:t>Une action prioritaire devrait être menée pour que l’ensemble des acteurs se conforment à cette exigence qui pourrait prendre un caractère d’opposabilité (quel que soit le type de support échangé d’ailleurs).</w:t>
      </w:r>
      <w:r w:rsidR="00192919">
        <w:rPr>
          <w:rFonts w:ascii="Calibri" w:eastAsia="Calibri" w:hAnsi="Calibri" w:cs="Calibri"/>
          <w:sz w:val="22"/>
          <w:szCs w:val="22"/>
        </w:rPr>
        <w:t xml:space="preserve">  </w:t>
      </w:r>
    </w:p>
    <w:p w14:paraId="7DAA36B8" w14:textId="0602201E" w:rsidR="00FF0D44" w:rsidRDefault="00FF0D44" w:rsidP="00914819">
      <w:pPr>
        <w:rPr>
          <w:rFonts w:ascii="Calibri" w:eastAsia="Calibri" w:hAnsi="Calibri" w:cs="Calibri"/>
          <w:sz w:val="22"/>
          <w:szCs w:val="22"/>
        </w:rPr>
      </w:pPr>
    </w:p>
    <w:p w14:paraId="1A96C856" w14:textId="77777777" w:rsidR="00FF0D44" w:rsidRDefault="00FF0D44" w:rsidP="00914819">
      <w:pPr>
        <w:rPr>
          <w:rFonts w:ascii="Calibri" w:eastAsia="Calibri" w:hAnsi="Calibri" w:cs="Calibri"/>
          <w:sz w:val="22"/>
          <w:szCs w:val="22"/>
        </w:rPr>
      </w:pPr>
    </w:p>
    <w:p w14:paraId="541FFEDD" w14:textId="25AA0027" w:rsidR="00A80C50" w:rsidRDefault="00A80C50">
      <w:pPr>
        <w:rPr>
          <w:rFonts w:ascii="Calibri" w:eastAsia="Calibri" w:hAnsi="Calibri" w:cs="Calibri"/>
          <w:sz w:val="22"/>
          <w:szCs w:val="22"/>
        </w:rPr>
      </w:pPr>
      <w:r>
        <w:rPr>
          <w:rFonts w:ascii="Calibri" w:eastAsia="Calibri" w:hAnsi="Calibri" w:cs="Calibri"/>
          <w:sz w:val="22"/>
          <w:szCs w:val="22"/>
        </w:rPr>
        <w:br w:type="page"/>
      </w:r>
    </w:p>
    <w:p w14:paraId="509C9736" w14:textId="41190C41" w:rsidR="00192919" w:rsidRDefault="00E77AD0" w:rsidP="00744E85">
      <w:pPr>
        <w:numPr>
          <w:ilvl w:val="0"/>
          <w:numId w:val="10"/>
        </w:numPr>
        <w:spacing w:after="240"/>
        <w:rPr>
          <w:rFonts w:ascii="Calibri" w:eastAsia="Calibri" w:hAnsi="Calibri" w:cs="Calibri"/>
          <w:sz w:val="22"/>
          <w:szCs w:val="22"/>
        </w:rPr>
      </w:pPr>
      <w:r>
        <w:rPr>
          <w:rFonts w:ascii="Calibri" w:eastAsia="Calibri" w:hAnsi="Calibri" w:cs="Calibri"/>
          <w:noProof/>
          <w:sz w:val="22"/>
          <w:szCs w:val="22"/>
        </w:rPr>
        <w:lastRenderedPageBreak/>
        <w:drawing>
          <wp:anchor distT="0" distB="0" distL="114300" distR="114300" simplePos="0" relativeHeight="251786240" behindDoc="0" locked="0" layoutInCell="1" allowOverlap="1" wp14:anchorId="769CE706" wp14:editId="749F17DC">
            <wp:simplePos x="0" y="0"/>
            <wp:positionH relativeFrom="column">
              <wp:posOffset>184150</wp:posOffset>
            </wp:positionH>
            <wp:positionV relativeFrom="paragraph">
              <wp:posOffset>3117995</wp:posOffset>
            </wp:positionV>
            <wp:extent cx="228600" cy="228600"/>
            <wp:effectExtent l="25400" t="12700" r="76200" b="63500"/>
            <wp:wrapNone/>
            <wp:docPr id="49" name="Graphique 4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2919" w:rsidRPr="00914819">
        <w:rPr>
          <w:rFonts w:ascii="Calibri" w:eastAsia="Calibri" w:hAnsi="Calibri" w:cs="Calibri"/>
          <w:sz w:val="22"/>
          <w:szCs w:val="22"/>
          <w:u w:val="single"/>
        </w:rPr>
        <w:t>E-prescription</w:t>
      </w:r>
      <w:r w:rsidR="00192919" w:rsidRPr="00914819">
        <w:rPr>
          <w:rFonts w:ascii="Calibri" w:eastAsia="Calibri" w:hAnsi="Calibri" w:cs="Calibri"/>
          <w:sz w:val="22"/>
          <w:szCs w:val="22"/>
          <w:u w:val="single"/>
        </w:rPr>
        <w:br/>
      </w:r>
      <w:r w:rsidR="004B0E17">
        <w:rPr>
          <w:rFonts w:ascii="Calibri" w:eastAsia="Calibri" w:hAnsi="Calibri" w:cs="Calibri"/>
          <w:sz w:val="22"/>
          <w:szCs w:val="22"/>
        </w:rPr>
        <w:br/>
      </w:r>
      <w:r w:rsidR="00192919" w:rsidRPr="00914819">
        <w:rPr>
          <w:rFonts w:ascii="Calibri" w:eastAsia="Calibri" w:hAnsi="Calibri" w:cs="Calibri"/>
          <w:sz w:val="22"/>
          <w:szCs w:val="22"/>
        </w:rPr>
        <w:t>Le seconde phase des pilotes auxquels nous participons avec la CNAM arrive à son terme fin 2019. Elle nous a permis de prendre en compte les nouvelles orientations techniques et fonctionnelles, dans une logique de la préparation de sa généralisation sur l’ensemble du territoire début 2020.</w:t>
      </w:r>
      <w:r w:rsidR="00192919" w:rsidRPr="00914819">
        <w:rPr>
          <w:rFonts w:ascii="Calibri" w:eastAsia="Calibri" w:hAnsi="Calibri" w:cs="Calibri"/>
          <w:sz w:val="22"/>
          <w:szCs w:val="22"/>
        </w:rPr>
        <w:br/>
        <w:t xml:space="preserve">Le dispositif est de nature, tant à l’égard des prescriptions que des dispensations, </w:t>
      </w:r>
      <w:r w:rsidR="00192919">
        <w:rPr>
          <w:rFonts w:ascii="Calibri" w:eastAsia="Calibri" w:hAnsi="Calibri" w:cs="Calibri"/>
          <w:sz w:val="22"/>
          <w:szCs w:val="22"/>
        </w:rPr>
        <w:t>à</w:t>
      </w:r>
      <w:r w:rsidR="00192919" w:rsidRPr="00914819">
        <w:rPr>
          <w:rFonts w:ascii="Calibri" w:eastAsia="Calibri" w:hAnsi="Calibri" w:cs="Calibri"/>
          <w:sz w:val="22"/>
          <w:szCs w:val="22"/>
        </w:rPr>
        <w:t xml:space="preserve"> dématérialiser les données qui alimentent, via un flux en Y, le serveur « e-prescription » et le DMP.</w:t>
      </w:r>
      <w:r w:rsidR="00192919">
        <w:rPr>
          <w:rFonts w:ascii="Calibri" w:eastAsia="Calibri" w:hAnsi="Calibri" w:cs="Calibri"/>
          <w:sz w:val="22"/>
          <w:szCs w:val="22"/>
        </w:rPr>
        <w:br/>
      </w:r>
      <w:r w:rsidR="00192919" w:rsidRPr="00914819">
        <w:rPr>
          <w:rFonts w:ascii="Calibri" w:eastAsia="Calibri" w:hAnsi="Calibri" w:cs="Calibri"/>
          <w:sz w:val="22"/>
          <w:szCs w:val="22"/>
        </w:rPr>
        <w:br/>
        <w:t xml:space="preserve">Au-delà de cette étape de dématérialisation des prescriptions et </w:t>
      </w:r>
      <w:r w:rsidR="00192919">
        <w:rPr>
          <w:rFonts w:ascii="Calibri" w:eastAsia="Calibri" w:hAnsi="Calibri" w:cs="Calibri"/>
          <w:sz w:val="22"/>
          <w:szCs w:val="22"/>
        </w:rPr>
        <w:t xml:space="preserve">des </w:t>
      </w:r>
      <w:r w:rsidR="00192919" w:rsidRPr="00914819">
        <w:rPr>
          <w:rFonts w:ascii="Calibri" w:eastAsia="Calibri" w:hAnsi="Calibri" w:cs="Calibri"/>
          <w:sz w:val="22"/>
          <w:szCs w:val="22"/>
        </w:rPr>
        <w:t xml:space="preserve">dispensations des médicaments, il </w:t>
      </w:r>
      <w:r w:rsidR="00192919">
        <w:rPr>
          <w:rFonts w:ascii="Calibri" w:eastAsia="Calibri" w:hAnsi="Calibri" w:cs="Calibri"/>
          <w:sz w:val="22"/>
          <w:szCs w:val="22"/>
        </w:rPr>
        <w:t>nous</w:t>
      </w:r>
      <w:r w:rsidR="00192919" w:rsidRPr="00914819">
        <w:rPr>
          <w:rFonts w:ascii="Calibri" w:eastAsia="Calibri" w:hAnsi="Calibri" w:cs="Calibri"/>
          <w:sz w:val="22"/>
          <w:szCs w:val="22"/>
        </w:rPr>
        <w:t xml:space="preserve"> paraît important de démarrer la prescription des examens. Il s’agit sans aucun doute d’un sujet complexe qui viendra compléter les travaux qui ont été réalisés dans le cadre de l’intégration des résultats de biologie dans les LPS.</w:t>
      </w:r>
      <w:r w:rsidR="00192919">
        <w:rPr>
          <w:rFonts w:ascii="Calibri" w:eastAsia="Calibri" w:hAnsi="Calibri" w:cs="Calibri"/>
          <w:sz w:val="22"/>
          <w:szCs w:val="22"/>
        </w:rPr>
        <w:t xml:space="preserve"> A cet égard sans doute conviendra-t-il de procéder par étapes successives, en partant dans un premier temps sur une structuration minimale de type CDA N2 propice à un premier niveau d’intégration automatique de supports documentaires (modèle LDL)</w:t>
      </w:r>
      <w:r w:rsidR="0095734F">
        <w:rPr>
          <w:rFonts w:ascii="Calibri" w:eastAsia="Calibri" w:hAnsi="Calibri" w:cs="Calibri"/>
          <w:sz w:val="22"/>
          <w:szCs w:val="22"/>
        </w:rPr>
        <w:t>, et de mettre en perspective une évolution permettant de prendre en compte un niveau de structuration plus évolué (CDA N3 – codification LOINC).</w:t>
      </w:r>
      <w:r w:rsidR="00192919">
        <w:rPr>
          <w:rFonts w:ascii="Calibri" w:eastAsia="Calibri" w:hAnsi="Calibri" w:cs="Calibri"/>
          <w:sz w:val="22"/>
          <w:szCs w:val="22"/>
        </w:rPr>
        <w:br/>
        <w:t>La FEIMA est prête à mobiliser des experts pour participer aux travaux de spécifications, puis d’expérimentation, d’une extension du périmètre premier de la e-prescription.</w:t>
      </w:r>
      <w:r w:rsidR="00192919">
        <w:rPr>
          <w:rFonts w:ascii="Calibri" w:eastAsia="Calibri" w:hAnsi="Calibri" w:cs="Calibri"/>
          <w:sz w:val="22"/>
          <w:szCs w:val="22"/>
        </w:rPr>
        <w:br/>
      </w:r>
      <w:r w:rsidR="00192919">
        <w:rPr>
          <w:rFonts w:ascii="Calibri" w:eastAsia="Calibri" w:hAnsi="Calibri" w:cs="Calibri"/>
          <w:sz w:val="22"/>
          <w:szCs w:val="22"/>
        </w:rPr>
        <w:br/>
        <w:t xml:space="preserve">Il nous semble par ailleurs utile que les travaux menés au niveau européen sur ce périmètre puisse être examinés afin que la France soit en mesure </w:t>
      </w:r>
      <w:r w:rsidR="00DF2EA3">
        <w:rPr>
          <w:rFonts w:ascii="Calibri" w:eastAsia="Calibri" w:hAnsi="Calibri" w:cs="Calibri"/>
          <w:sz w:val="22"/>
          <w:szCs w:val="22"/>
        </w:rPr>
        <w:t>de rallier les initiatives entreprises en matière d’échanges transfrontaliers.</w:t>
      </w:r>
    </w:p>
    <w:p w14:paraId="733642EC" w14:textId="38433CE2" w:rsidR="00141CF4" w:rsidRDefault="00D52206" w:rsidP="009B3D16">
      <w:pPr>
        <w:spacing w:after="240"/>
        <w:ind w:left="720"/>
        <w:rPr>
          <w:rFonts w:ascii="Calibri" w:eastAsia="Calibri" w:hAnsi="Calibri" w:cs="Calibri"/>
          <w:sz w:val="22"/>
          <w:szCs w:val="22"/>
        </w:rPr>
      </w:pPr>
      <w:r>
        <w:rPr>
          <w:rFonts w:ascii="Calibri" w:eastAsia="Calibri" w:hAnsi="Calibri" w:cs="Calibri"/>
          <w:sz w:val="22"/>
          <w:szCs w:val="22"/>
        </w:rPr>
        <w:t>Il est fait état dans le document de doctrine des modules d’aide à la prescription, puis d’aide à la dispensation, comme étant des prérequis à la e-prescription.</w:t>
      </w:r>
      <w:r>
        <w:rPr>
          <w:rFonts w:ascii="Calibri" w:eastAsia="Calibri" w:hAnsi="Calibri" w:cs="Calibri"/>
          <w:sz w:val="22"/>
          <w:szCs w:val="22"/>
        </w:rPr>
        <w:br/>
      </w:r>
      <w:r w:rsidR="004E3971">
        <w:rPr>
          <w:rFonts w:ascii="Calibri" w:eastAsia="Calibri" w:hAnsi="Calibri" w:cs="Calibri"/>
          <w:sz w:val="22"/>
          <w:szCs w:val="22"/>
        </w:rPr>
        <w:t>S’il ne fait aucun doute parmi les éditeurs de la FEIMA de la valeur qu’ils attachent à la production de modules d’aide à la décision et d’aide à la dispensation, nous vous invitons à vous reporter au chapitre « certification des SI » dans lequel nous avons exprimé les difficultés auxquelles nous sommes confrontés depuis l’entrée en vigueur du règlement européen portant sur les DM et des conséquences fâcheuses qu’il génère sur le dispositif de certification porté par la HAS.</w:t>
      </w:r>
    </w:p>
    <w:p w14:paraId="3940D229" w14:textId="52222547" w:rsidR="004B243C" w:rsidRDefault="004B0E17" w:rsidP="00744E85">
      <w:pPr>
        <w:numPr>
          <w:ilvl w:val="0"/>
          <w:numId w:val="10"/>
        </w:numPr>
        <w:spacing w:after="24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88288" behindDoc="0" locked="0" layoutInCell="1" allowOverlap="1" wp14:anchorId="0F782943" wp14:editId="6F4EE295">
            <wp:simplePos x="0" y="0"/>
            <wp:positionH relativeFrom="column">
              <wp:posOffset>184150</wp:posOffset>
            </wp:positionH>
            <wp:positionV relativeFrom="paragraph">
              <wp:posOffset>1110760</wp:posOffset>
            </wp:positionV>
            <wp:extent cx="228600" cy="228600"/>
            <wp:effectExtent l="25400" t="12700" r="76200" b="63500"/>
            <wp:wrapNone/>
            <wp:docPr id="50" name="Graphique 50"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77AD0">
        <w:rPr>
          <w:rFonts w:ascii="Calibri" w:eastAsia="Calibri" w:hAnsi="Calibri" w:cs="Calibri"/>
          <w:noProof/>
          <w:sz w:val="22"/>
          <w:szCs w:val="22"/>
        </w:rPr>
        <w:drawing>
          <wp:anchor distT="0" distB="0" distL="114300" distR="114300" simplePos="0" relativeHeight="251790336" behindDoc="0" locked="0" layoutInCell="1" allowOverlap="1" wp14:anchorId="158529AD" wp14:editId="02FD0723">
            <wp:simplePos x="0" y="0"/>
            <wp:positionH relativeFrom="column">
              <wp:posOffset>140676</wp:posOffset>
            </wp:positionH>
            <wp:positionV relativeFrom="paragraph">
              <wp:posOffset>2345738</wp:posOffset>
            </wp:positionV>
            <wp:extent cx="228600" cy="228600"/>
            <wp:effectExtent l="25400" t="12700" r="76200" b="63500"/>
            <wp:wrapNone/>
            <wp:docPr id="51" name="Graphique 5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B243C">
        <w:rPr>
          <w:rFonts w:ascii="Calibri" w:eastAsia="Calibri" w:hAnsi="Calibri" w:cs="Calibri"/>
          <w:sz w:val="22"/>
          <w:szCs w:val="22"/>
          <w:u w:val="single"/>
        </w:rPr>
        <w:t>E</w:t>
      </w:r>
      <w:r w:rsidR="004B243C" w:rsidRPr="00914819">
        <w:rPr>
          <w:rFonts w:ascii="Calibri" w:eastAsia="Calibri" w:hAnsi="Calibri" w:cs="Calibri"/>
          <w:sz w:val="22"/>
          <w:szCs w:val="22"/>
          <w:u w:val="single"/>
        </w:rPr>
        <w:t xml:space="preserve">-parcours – </w:t>
      </w:r>
      <w:r w:rsidR="00C802F9">
        <w:rPr>
          <w:rFonts w:ascii="Calibri" w:eastAsia="Calibri" w:hAnsi="Calibri" w:cs="Calibri"/>
          <w:sz w:val="22"/>
          <w:szCs w:val="22"/>
          <w:u w:val="single"/>
        </w:rPr>
        <w:t xml:space="preserve">Services de </w:t>
      </w:r>
      <w:r w:rsidR="004B243C" w:rsidRPr="00914819">
        <w:rPr>
          <w:rFonts w:ascii="Calibri" w:eastAsia="Calibri" w:hAnsi="Calibri" w:cs="Calibri"/>
          <w:sz w:val="22"/>
          <w:szCs w:val="22"/>
          <w:u w:val="single"/>
        </w:rPr>
        <w:t xml:space="preserve">coordination </w:t>
      </w:r>
      <w:r w:rsidR="00C802F9">
        <w:rPr>
          <w:rFonts w:ascii="Calibri" w:eastAsia="Calibri" w:hAnsi="Calibri" w:cs="Calibri"/>
          <w:sz w:val="22"/>
          <w:szCs w:val="22"/>
          <w:u w:val="single"/>
        </w:rPr>
        <w:t>pour les parcours de santé</w:t>
      </w:r>
      <w:r w:rsidR="004B243C" w:rsidRPr="00914819">
        <w:rPr>
          <w:rFonts w:ascii="Calibri" w:eastAsia="Calibri" w:hAnsi="Calibri" w:cs="Calibri"/>
          <w:sz w:val="22"/>
          <w:szCs w:val="22"/>
        </w:rPr>
        <w:br/>
      </w:r>
      <w:r>
        <w:rPr>
          <w:rFonts w:ascii="Calibri" w:eastAsia="Calibri" w:hAnsi="Calibri" w:cs="Calibri"/>
          <w:sz w:val="22"/>
          <w:szCs w:val="22"/>
        </w:rPr>
        <w:br/>
      </w:r>
      <w:r w:rsidR="004B243C" w:rsidRPr="00914819">
        <w:rPr>
          <w:rFonts w:ascii="Calibri" w:eastAsia="Calibri" w:hAnsi="Calibri" w:cs="Calibri"/>
          <w:sz w:val="22"/>
          <w:szCs w:val="22"/>
        </w:rPr>
        <w:t>Vous savez quels ont été nos engagements ainsi que nos points d’attention sur ce dossier. Une des conditions principales conditionnant l’engagement de nos entreprises dans les travaux d’intégration des services de coordination de parcours portait sur la mutualisation des services d’intégration permettant d’en garantir une réplication à l’échelle nationale.</w:t>
      </w:r>
      <w:r w:rsidR="004B243C" w:rsidRPr="00914819">
        <w:rPr>
          <w:rFonts w:ascii="Calibri" w:eastAsia="Calibri" w:hAnsi="Calibri" w:cs="Calibri"/>
          <w:sz w:val="22"/>
          <w:szCs w:val="22"/>
        </w:rPr>
        <w:br/>
        <w:t xml:space="preserve">Nous avons porté, en relation avec les 5 régions pilotes TSN et l’ASIP Santé, une démarche ayant débouché sur la rédaction d’un guide d’intégration des services socles de coordination. Il s’agit </w:t>
      </w:r>
      <w:r w:rsidR="004B243C">
        <w:rPr>
          <w:rFonts w:ascii="Calibri" w:eastAsia="Calibri" w:hAnsi="Calibri" w:cs="Calibri"/>
          <w:sz w:val="22"/>
          <w:szCs w:val="22"/>
        </w:rPr>
        <w:t>selon nous</w:t>
      </w:r>
      <w:r w:rsidR="004B243C" w:rsidRPr="00914819">
        <w:rPr>
          <w:rFonts w:ascii="Calibri" w:eastAsia="Calibri" w:hAnsi="Calibri" w:cs="Calibri"/>
          <w:sz w:val="22"/>
          <w:szCs w:val="22"/>
        </w:rPr>
        <w:t xml:space="preserve"> d’une première étape, dont on peut s’interroger sur la réelle portée qu’ont pu lui accorder les services ministériels en charge de cette question et l’ensemble des institutions régionales</w:t>
      </w:r>
      <w:r w:rsidR="004B243C">
        <w:rPr>
          <w:rFonts w:ascii="Calibri" w:eastAsia="Calibri" w:hAnsi="Calibri" w:cs="Calibri"/>
          <w:sz w:val="22"/>
          <w:szCs w:val="22"/>
        </w:rPr>
        <w:t xml:space="preserve">. Elle a pourtant </w:t>
      </w:r>
      <w:r w:rsidR="004B243C" w:rsidRPr="00914819">
        <w:rPr>
          <w:rFonts w:ascii="Calibri" w:eastAsia="Calibri" w:hAnsi="Calibri" w:cs="Calibri"/>
          <w:sz w:val="22"/>
          <w:szCs w:val="22"/>
        </w:rPr>
        <w:t xml:space="preserve">le mérite d’avoir posé les bases d’une démarche et </w:t>
      </w:r>
      <w:r w:rsidR="004B243C">
        <w:rPr>
          <w:rFonts w:ascii="Calibri" w:eastAsia="Calibri" w:hAnsi="Calibri" w:cs="Calibri"/>
          <w:sz w:val="22"/>
          <w:szCs w:val="22"/>
        </w:rPr>
        <w:t xml:space="preserve">de </w:t>
      </w:r>
      <w:r w:rsidR="004B243C" w:rsidRPr="00914819">
        <w:rPr>
          <w:rFonts w:ascii="Calibri" w:eastAsia="Calibri" w:hAnsi="Calibri" w:cs="Calibri"/>
          <w:sz w:val="22"/>
          <w:szCs w:val="22"/>
        </w:rPr>
        <w:t>socles techniques de référence qu’il serait assurément utile de relancer.</w:t>
      </w:r>
      <w:r w:rsidR="004B243C">
        <w:rPr>
          <w:rFonts w:ascii="Calibri" w:eastAsia="Calibri" w:hAnsi="Calibri" w:cs="Calibri"/>
          <w:sz w:val="22"/>
          <w:szCs w:val="22"/>
        </w:rPr>
        <w:t xml:space="preserve"> </w:t>
      </w:r>
      <w:r w:rsidR="004B243C" w:rsidRPr="00914819">
        <w:rPr>
          <w:rFonts w:ascii="Calibri" w:eastAsia="Calibri" w:hAnsi="Calibri" w:cs="Calibri"/>
          <w:sz w:val="22"/>
          <w:szCs w:val="22"/>
        </w:rPr>
        <w:br/>
      </w:r>
      <w:r w:rsidR="004B243C" w:rsidRPr="00914819">
        <w:rPr>
          <w:rFonts w:ascii="Calibri" w:eastAsia="Calibri" w:hAnsi="Calibri" w:cs="Calibri"/>
          <w:sz w:val="22"/>
          <w:szCs w:val="22"/>
        </w:rPr>
        <w:br/>
        <w:t xml:space="preserve">Nous avions par ailleurs identifié la nécessaire clarification qu’il convenait d’apporter entre les services portés par ces plateformes et ceux portés par les plateformes nationales (DMP, DP, serveur e-prescription de la CNAM, futur ENS). Cette question </w:t>
      </w:r>
      <w:r w:rsidR="004B243C">
        <w:rPr>
          <w:rFonts w:ascii="Calibri" w:eastAsia="Calibri" w:hAnsi="Calibri" w:cs="Calibri"/>
          <w:sz w:val="22"/>
          <w:szCs w:val="22"/>
        </w:rPr>
        <w:t>nous</w:t>
      </w:r>
      <w:r w:rsidR="004B243C" w:rsidRPr="00914819">
        <w:rPr>
          <w:rFonts w:ascii="Calibri" w:eastAsia="Calibri" w:hAnsi="Calibri" w:cs="Calibri"/>
          <w:sz w:val="22"/>
          <w:szCs w:val="22"/>
        </w:rPr>
        <w:t xml:space="preserve"> paraît d’autant plus importante à traiter que des démarches sont en cours pour préparer la généralisation du programme e-parcours et qu’une stratégie d’urbanisation des services est en cours d’élaboration.</w:t>
      </w:r>
      <w:r w:rsidR="004B243C" w:rsidRPr="00914819">
        <w:rPr>
          <w:rFonts w:ascii="Calibri" w:eastAsia="Calibri" w:hAnsi="Calibri" w:cs="Calibri"/>
          <w:sz w:val="22"/>
          <w:szCs w:val="22"/>
        </w:rPr>
        <w:br/>
      </w:r>
      <w:r w:rsidR="004B243C">
        <w:rPr>
          <w:rFonts w:ascii="Calibri" w:eastAsia="Calibri" w:hAnsi="Calibri" w:cs="Calibri"/>
          <w:sz w:val="22"/>
          <w:szCs w:val="22"/>
        </w:rPr>
        <w:t>Nous ne voyons</w:t>
      </w:r>
      <w:r w:rsidR="004B243C" w:rsidRPr="00914819">
        <w:rPr>
          <w:rFonts w:ascii="Calibri" w:eastAsia="Calibri" w:hAnsi="Calibri" w:cs="Calibri"/>
          <w:sz w:val="22"/>
          <w:szCs w:val="22"/>
        </w:rPr>
        <w:t xml:space="preserve"> d’autre vecteur d’arbitrage que celui d’une analyse réalisée sur la base des services portés par ces plateformes au bénéfice d’usages clairement différenciés et complémentaires</w:t>
      </w:r>
      <w:r w:rsidR="004B243C">
        <w:rPr>
          <w:rFonts w:ascii="Calibri" w:eastAsia="Calibri" w:hAnsi="Calibri" w:cs="Calibri"/>
          <w:sz w:val="22"/>
          <w:szCs w:val="22"/>
        </w:rPr>
        <w:t xml:space="preserve"> de ceux qui existent par ailleurs</w:t>
      </w:r>
      <w:r w:rsidR="004B243C" w:rsidRPr="00914819">
        <w:rPr>
          <w:rFonts w:ascii="Calibri" w:eastAsia="Calibri" w:hAnsi="Calibri" w:cs="Calibri"/>
          <w:sz w:val="22"/>
          <w:szCs w:val="22"/>
        </w:rPr>
        <w:t>.</w:t>
      </w:r>
      <w:r w:rsidR="00C802F9">
        <w:rPr>
          <w:rFonts w:ascii="Calibri" w:eastAsia="Calibri" w:hAnsi="Calibri" w:cs="Calibri"/>
          <w:sz w:val="22"/>
          <w:szCs w:val="22"/>
        </w:rPr>
        <w:br/>
        <w:t xml:space="preserve">C’est le cas par exemple des services de téléexpertise et de téléconsultation qui sont couverts par </w:t>
      </w:r>
      <w:r w:rsidR="00C802F9">
        <w:rPr>
          <w:rFonts w:ascii="Calibri" w:eastAsia="Calibri" w:hAnsi="Calibri" w:cs="Calibri"/>
          <w:sz w:val="22"/>
          <w:szCs w:val="22"/>
        </w:rPr>
        <w:lastRenderedPageBreak/>
        <w:t>un large spectre de solutions industrielles ou encore des services d’agenda partagé qui sont appelés à être couvert par le service socle de l’ENS.</w:t>
      </w:r>
      <w:r w:rsidR="00C802F9">
        <w:rPr>
          <w:rFonts w:ascii="Calibri" w:eastAsia="Calibri" w:hAnsi="Calibri" w:cs="Calibri"/>
          <w:sz w:val="22"/>
          <w:szCs w:val="22"/>
        </w:rPr>
        <w:br/>
      </w:r>
    </w:p>
    <w:p w14:paraId="081C3C05" w14:textId="76C9545A" w:rsidR="00C802F9" w:rsidRDefault="00C802F9" w:rsidP="00C802F9">
      <w:pPr>
        <w:spacing w:after="240"/>
        <w:ind w:left="720"/>
        <w:rPr>
          <w:rFonts w:ascii="Calibri" w:eastAsia="Calibri" w:hAnsi="Calibri" w:cs="Calibri"/>
          <w:sz w:val="22"/>
          <w:szCs w:val="22"/>
        </w:rPr>
      </w:pPr>
      <w:r>
        <w:rPr>
          <w:rFonts w:ascii="Calibri" w:eastAsia="Calibri" w:hAnsi="Calibri" w:cs="Calibri"/>
          <w:sz w:val="22"/>
          <w:szCs w:val="22"/>
        </w:rPr>
        <w:t xml:space="preserve">Si l’on se réfère au cadre d’urbanisation sectoriel, il convient </w:t>
      </w:r>
      <w:r w:rsidR="00A63631">
        <w:rPr>
          <w:rFonts w:ascii="Calibri" w:eastAsia="Calibri" w:hAnsi="Calibri" w:cs="Calibri"/>
          <w:sz w:val="22"/>
          <w:szCs w:val="22"/>
        </w:rPr>
        <w:t>d’examiner</w:t>
      </w:r>
      <w:r>
        <w:rPr>
          <w:rFonts w:ascii="Calibri" w:eastAsia="Calibri" w:hAnsi="Calibri" w:cs="Calibri"/>
          <w:sz w:val="22"/>
          <w:szCs w:val="22"/>
        </w:rPr>
        <w:t xml:space="preserve"> la position de ces plateformes à l’égard des exigences GS4, </w:t>
      </w:r>
      <w:r w:rsidR="00A63631">
        <w:rPr>
          <w:rFonts w:ascii="Calibri" w:eastAsia="Calibri" w:hAnsi="Calibri" w:cs="Calibri"/>
          <w:sz w:val="22"/>
          <w:szCs w:val="22"/>
        </w:rPr>
        <w:t>GS5, CS1 et CS5.</w:t>
      </w:r>
      <w:r w:rsidR="00A63631">
        <w:rPr>
          <w:rFonts w:ascii="Calibri" w:eastAsia="Calibri" w:hAnsi="Calibri" w:cs="Calibri"/>
          <w:sz w:val="22"/>
          <w:szCs w:val="22"/>
        </w:rPr>
        <w:br/>
      </w:r>
      <w:r w:rsidR="00546587">
        <w:rPr>
          <w:rFonts w:ascii="Calibri" w:eastAsia="Calibri" w:hAnsi="Calibri" w:cs="Calibri"/>
          <w:sz w:val="22"/>
          <w:szCs w:val="22"/>
        </w:rPr>
        <w:t>A l’égard du service de partage d’informations dont il est fait état dans le document de doctrine, il convient de s’interroger sur les rôles respectifs du DMP et des plateformes e-parcours en partant du principe qu’un professionnel de santé est appelé à adresser</w:t>
      </w:r>
      <w:r w:rsidR="00546587" w:rsidRPr="00546587">
        <w:rPr>
          <w:rFonts w:ascii="Calibri" w:eastAsia="Calibri" w:hAnsi="Calibri" w:cs="Calibri"/>
          <w:sz w:val="22"/>
          <w:szCs w:val="22"/>
        </w:rPr>
        <w:t xml:space="preserve"> </w:t>
      </w:r>
      <w:r w:rsidR="00546587">
        <w:rPr>
          <w:rFonts w:ascii="Calibri" w:eastAsia="Calibri" w:hAnsi="Calibri" w:cs="Calibri"/>
          <w:sz w:val="22"/>
          <w:szCs w:val="22"/>
        </w:rPr>
        <w:t xml:space="preserve">prioritairement des éléments tels que </w:t>
      </w:r>
      <w:r w:rsidR="00433AA8">
        <w:rPr>
          <w:rFonts w:ascii="Calibri" w:eastAsia="Calibri" w:hAnsi="Calibri" w:cs="Calibri"/>
          <w:sz w:val="22"/>
          <w:szCs w:val="22"/>
        </w:rPr>
        <w:t>comptes rendus</w:t>
      </w:r>
      <w:r w:rsidR="00546587">
        <w:rPr>
          <w:rFonts w:ascii="Calibri" w:eastAsia="Calibri" w:hAnsi="Calibri" w:cs="Calibri"/>
          <w:sz w:val="22"/>
          <w:szCs w:val="22"/>
        </w:rPr>
        <w:t>, volet de synthèse</w:t>
      </w:r>
      <w:r w:rsidR="00433AA8">
        <w:rPr>
          <w:rFonts w:ascii="Calibri" w:eastAsia="Calibri" w:hAnsi="Calibri" w:cs="Calibri"/>
          <w:sz w:val="22"/>
          <w:szCs w:val="22"/>
        </w:rPr>
        <w:t xml:space="preserve"> médicale</w:t>
      </w:r>
      <w:r w:rsidR="00546587">
        <w:rPr>
          <w:rFonts w:ascii="Calibri" w:eastAsia="Calibri" w:hAnsi="Calibri" w:cs="Calibri"/>
          <w:sz w:val="22"/>
          <w:szCs w:val="22"/>
        </w:rPr>
        <w:t xml:space="preserve">, </w:t>
      </w:r>
      <w:r w:rsidR="00433AA8">
        <w:rPr>
          <w:rFonts w:ascii="Calibri" w:eastAsia="Calibri" w:hAnsi="Calibri" w:cs="Calibri"/>
          <w:sz w:val="22"/>
          <w:szCs w:val="22"/>
        </w:rPr>
        <w:t>prescriptions,</w:t>
      </w:r>
      <w:r w:rsidR="00546587">
        <w:rPr>
          <w:rFonts w:ascii="Calibri" w:eastAsia="Calibri" w:hAnsi="Calibri" w:cs="Calibri"/>
          <w:sz w:val="22"/>
          <w:szCs w:val="22"/>
        </w:rPr>
        <w:t>… au DMP.</w:t>
      </w:r>
    </w:p>
    <w:p w14:paraId="4E24E21A" w14:textId="77777777" w:rsidR="00A63631" w:rsidRDefault="00A63631" w:rsidP="00A63631">
      <w:pPr>
        <w:spacing w:after="240"/>
        <w:rPr>
          <w:rFonts w:ascii="Calibri" w:eastAsia="Calibri" w:hAnsi="Calibri" w:cs="Calibri"/>
          <w:sz w:val="22"/>
          <w:szCs w:val="22"/>
        </w:rPr>
      </w:pPr>
    </w:p>
    <w:p w14:paraId="52451345" w14:textId="3F010F5D" w:rsidR="00C802F9" w:rsidRDefault="00C802F9" w:rsidP="00C802F9">
      <w:pPr>
        <w:spacing w:after="240"/>
        <w:rPr>
          <w:rFonts w:ascii="Calibri" w:eastAsia="Calibri" w:hAnsi="Calibri" w:cs="Calibri"/>
          <w:sz w:val="22"/>
          <w:szCs w:val="22"/>
        </w:rPr>
      </w:pPr>
    </w:p>
    <w:p w14:paraId="26B73FB3" w14:textId="77777777" w:rsidR="00C802F9" w:rsidRPr="00914819" w:rsidRDefault="00C802F9" w:rsidP="00C802F9">
      <w:pPr>
        <w:spacing w:after="240"/>
        <w:rPr>
          <w:rFonts w:ascii="Calibri" w:eastAsia="Calibri" w:hAnsi="Calibri" w:cs="Calibri"/>
          <w:sz w:val="22"/>
          <w:szCs w:val="22"/>
        </w:rPr>
      </w:pPr>
    </w:p>
    <w:p w14:paraId="2E0A8670" w14:textId="64D451E0" w:rsidR="00141CF4" w:rsidRDefault="00141CF4" w:rsidP="00914819">
      <w:pPr>
        <w:rPr>
          <w:rFonts w:ascii="Calibri" w:eastAsia="Calibri" w:hAnsi="Calibri" w:cs="Calibri"/>
          <w:sz w:val="22"/>
          <w:szCs w:val="22"/>
        </w:rPr>
      </w:pPr>
    </w:p>
    <w:p w14:paraId="4055DA63" w14:textId="77777777" w:rsidR="00141CF4" w:rsidRDefault="00141CF4" w:rsidP="00914819">
      <w:pPr>
        <w:rPr>
          <w:rFonts w:ascii="Calibri" w:eastAsia="Calibri" w:hAnsi="Calibri" w:cs="Calibri"/>
          <w:sz w:val="22"/>
          <w:szCs w:val="22"/>
        </w:rPr>
      </w:pPr>
    </w:p>
    <w:p w14:paraId="09C22B8E" w14:textId="1D705B82" w:rsidR="00141CF4" w:rsidRDefault="00141CF4" w:rsidP="00914819">
      <w:pPr>
        <w:rPr>
          <w:rFonts w:ascii="Calibri" w:eastAsia="Calibri" w:hAnsi="Calibri" w:cs="Calibri"/>
          <w:sz w:val="22"/>
          <w:szCs w:val="22"/>
        </w:rPr>
      </w:pPr>
    </w:p>
    <w:p w14:paraId="7A73500E" w14:textId="34D33461" w:rsidR="00EE0CAD" w:rsidRDefault="00EE0CAD">
      <w:pPr>
        <w:rPr>
          <w:rFonts w:ascii="Calibri" w:eastAsia="Calibri" w:hAnsi="Calibri" w:cs="Calibri"/>
          <w:sz w:val="22"/>
          <w:szCs w:val="22"/>
        </w:rPr>
      </w:pPr>
      <w:r>
        <w:rPr>
          <w:rFonts w:ascii="Calibri" w:eastAsia="Calibri" w:hAnsi="Calibri" w:cs="Calibri"/>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EE0CAD" w:rsidRPr="00245C0F" w14:paraId="4CDE9CED" w14:textId="77777777" w:rsidTr="00F557C7">
        <w:tc>
          <w:tcPr>
            <w:tcW w:w="9628" w:type="dxa"/>
            <w:shd w:val="clear" w:color="auto" w:fill="0081A2"/>
          </w:tcPr>
          <w:p w14:paraId="3609B1AA" w14:textId="77777777" w:rsidR="00EE0CAD" w:rsidRPr="00245C0F" w:rsidRDefault="00EE0CAD" w:rsidP="00F557C7">
            <w:pPr>
              <w:jc w:val="center"/>
              <w:rPr>
                <w:rFonts w:ascii="Raleway" w:hAnsi="Raleway"/>
              </w:rPr>
            </w:pPr>
          </w:p>
          <w:p w14:paraId="2CF1A1F2" w14:textId="7A0F1D6B" w:rsidR="00EE0CAD" w:rsidRPr="00245C0F" w:rsidRDefault="00EE0CAD" w:rsidP="00F557C7">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Plateformes Numériques de Santé</w:t>
            </w:r>
          </w:p>
        </w:tc>
      </w:tr>
      <w:tr w:rsidR="00EE0CAD" w:rsidRPr="00245C0F" w14:paraId="41D58A3D" w14:textId="77777777" w:rsidTr="00F557C7">
        <w:tc>
          <w:tcPr>
            <w:tcW w:w="9628" w:type="dxa"/>
            <w:shd w:val="clear" w:color="auto" w:fill="0081A2"/>
          </w:tcPr>
          <w:p w14:paraId="13370C0A" w14:textId="77777777" w:rsidR="00EE0CAD" w:rsidRPr="00245C0F" w:rsidRDefault="00EE0CAD" w:rsidP="00F557C7">
            <w:pPr>
              <w:pStyle w:val="Corps"/>
              <w:rPr>
                <w:rFonts w:ascii="Raleway" w:hAnsi="Raleway"/>
              </w:rPr>
            </w:pPr>
          </w:p>
        </w:tc>
      </w:tr>
    </w:tbl>
    <w:p w14:paraId="258D3A7E" w14:textId="77777777" w:rsidR="00EE0CAD" w:rsidRDefault="00EE0CAD" w:rsidP="00914819">
      <w:pPr>
        <w:rPr>
          <w:rFonts w:ascii="Calibri" w:eastAsia="Calibri" w:hAnsi="Calibri" w:cs="Calibri"/>
          <w:sz w:val="22"/>
          <w:szCs w:val="22"/>
        </w:rPr>
      </w:pPr>
    </w:p>
    <w:p w14:paraId="129A06EB" w14:textId="3A081ED7" w:rsidR="00EE0CAD" w:rsidRDefault="00EE0CAD" w:rsidP="00914819">
      <w:pPr>
        <w:rPr>
          <w:rFonts w:ascii="Calibri" w:eastAsia="Calibri" w:hAnsi="Calibri" w:cs="Calibri"/>
          <w:sz w:val="22"/>
          <w:szCs w:val="22"/>
        </w:rPr>
      </w:pPr>
    </w:p>
    <w:p w14:paraId="64940428" w14:textId="17E2F69C" w:rsidR="00EE0CAD" w:rsidRPr="00353B16" w:rsidRDefault="00EE0CAD" w:rsidP="00744E85">
      <w:pPr>
        <w:pStyle w:val="Paragraphedeliste"/>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sidRPr="00353B16">
        <w:rPr>
          <w:rFonts w:ascii="Calibri" w:eastAsia="Calibri" w:hAnsi="Calibri" w:cs="Calibri"/>
          <w:sz w:val="22"/>
          <w:szCs w:val="22"/>
          <w:u w:val="single"/>
          <w:bdr w:val="none" w:sz="0" w:space="0" w:color="auto"/>
          <w:lang w:val="fr-FR"/>
        </w:rPr>
        <w:t>ENS</w:t>
      </w:r>
    </w:p>
    <w:p w14:paraId="791B8CE5" w14:textId="502F3CDE" w:rsidR="00EE0CAD" w:rsidRDefault="00EE0CAD" w:rsidP="00914819">
      <w:pPr>
        <w:rPr>
          <w:rFonts w:ascii="Calibri" w:eastAsia="Calibri" w:hAnsi="Calibri" w:cs="Calibri"/>
          <w:sz w:val="22"/>
          <w:szCs w:val="22"/>
        </w:rPr>
      </w:pPr>
    </w:p>
    <w:p w14:paraId="3F3EED1C" w14:textId="7EABA5E1" w:rsidR="00353FDE" w:rsidRDefault="0083071C" w:rsidP="00353FDE">
      <w:pPr>
        <w:ind w:left="720"/>
        <w:rPr>
          <w:rFonts w:ascii="Calibri" w:eastAsia="Calibri" w:hAnsi="Calibri" w:cs="Calibri"/>
          <w:sz w:val="22"/>
          <w:szCs w:val="22"/>
        </w:rPr>
      </w:pPr>
      <w:r>
        <w:rPr>
          <w:rFonts w:ascii="Calibri" w:eastAsia="Calibri" w:hAnsi="Calibri" w:cs="Calibri"/>
          <w:sz w:val="22"/>
          <w:szCs w:val="22"/>
        </w:rPr>
        <w:t>La FEIMA partage les principes exposés dans la doctrine relative à l’ENS, notamment à l’égard d’une articulation cohérente entre services régaliens relevant de la responsabilité de l’état et services privés relevant de la sphère industrielle.</w:t>
      </w:r>
    </w:p>
    <w:p w14:paraId="1A07B5D5" w14:textId="77777777" w:rsidR="0083071C" w:rsidRDefault="0083071C" w:rsidP="00353FDE">
      <w:pPr>
        <w:ind w:left="720"/>
        <w:rPr>
          <w:rFonts w:ascii="Calibri" w:eastAsia="Calibri" w:hAnsi="Calibri" w:cs="Calibri"/>
          <w:sz w:val="22"/>
          <w:szCs w:val="22"/>
        </w:rPr>
      </w:pPr>
    </w:p>
    <w:p w14:paraId="30FC4638" w14:textId="3EFB9C08" w:rsidR="0083071C" w:rsidRDefault="0083071C" w:rsidP="00353FDE">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71232" behindDoc="0" locked="0" layoutInCell="1" allowOverlap="1" wp14:anchorId="1E7DF70E" wp14:editId="7E6F594D">
            <wp:simplePos x="0" y="0"/>
            <wp:positionH relativeFrom="column">
              <wp:posOffset>76403</wp:posOffset>
            </wp:positionH>
            <wp:positionV relativeFrom="paragraph">
              <wp:posOffset>162560</wp:posOffset>
            </wp:positionV>
            <wp:extent cx="348615" cy="348615"/>
            <wp:effectExtent l="0" t="12700" r="32385" b="45085"/>
            <wp:wrapNone/>
            <wp:docPr id="78" name="Graphique 78"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zIolAQ.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8615" cy="348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S’agissant du futur service de messagerie sécurisée, support des échanges entre patients et professionnels de santé, la FEIMA souhaite se mobiliser aux côtés des équipes de la DNS et des professionnels concertés afin d’anticiper les travaux d’intégration qui seront très vraisemblablement demandés par les professionnels de santé avec leurs outils métier.</w:t>
      </w:r>
    </w:p>
    <w:p w14:paraId="6358C547" w14:textId="5F951D3E" w:rsidR="0083071C" w:rsidRDefault="0083071C" w:rsidP="00353FDE">
      <w:pPr>
        <w:ind w:left="720"/>
        <w:rPr>
          <w:rFonts w:ascii="Calibri" w:eastAsia="Calibri" w:hAnsi="Calibri" w:cs="Calibri"/>
          <w:sz w:val="22"/>
          <w:szCs w:val="22"/>
        </w:rPr>
      </w:pPr>
    </w:p>
    <w:p w14:paraId="768FB54D" w14:textId="22DF1908" w:rsidR="0083071C" w:rsidRDefault="0032059A" w:rsidP="00353FDE">
      <w:pPr>
        <w:ind w:left="720"/>
        <w:rPr>
          <w:rFonts w:ascii="Calibri" w:eastAsia="Calibri" w:hAnsi="Calibri" w:cs="Calibri"/>
          <w:sz w:val="22"/>
          <w:szCs w:val="22"/>
        </w:rPr>
      </w:pPr>
      <w:r>
        <w:rPr>
          <w:rFonts w:ascii="Calibri" w:eastAsia="Calibri" w:hAnsi="Calibri" w:cs="Calibri"/>
          <w:sz w:val="22"/>
          <w:szCs w:val="22"/>
        </w:rPr>
        <w:t>Agenda partagé : voir position exprimée par la FEILMA dans le chapitre « interopérabilité des systèmes d’information de santé – volet de gestion d’agenda partagé ».</w:t>
      </w:r>
    </w:p>
    <w:p w14:paraId="63D00F03" w14:textId="588499B5" w:rsidR="0032059A" w:rsidRDefault="0032059A" w:rsidP="00353FDE">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73280" behindDoc="0" locked="0" layoutInCell="1" allowOverlap="1" wp14:anchorId="720995B5" wp14:editId="5DB74168">
            <wp:simplePos x="0" y="0"/>
            <wp:positionH relativeFrom="column">
              <wp:posOffset>85725</wp:posOffset>
            </wp:positionH>
            <wp:positionV relativeFrom="paragraph">
              <wp:posOffset>2972</wp:posOffset>
            </wp:positionV>
            <wp:extent cx="348615" cy="348615"/>
            <wp:effectExtent l="0" t="12700" r="32385" b="45085"/>
            <wp:wrapNone/>
            <wp:docPr id="79" name="Graphique 79"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zIolAQ.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8615" cy="348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Les membres de la FEIMA, porteurs de services de gestion de rendez-vous, sont prêts à engager dans les plus brefs délais des travaux avec la DNS et les représentants du secteur ambulatoire qu’ils accompagnent pour définir les cas d’usages et les modalités d’intégration qu’il conviendra de mettre en œuvre pour atteindre les objectifs fixés.</w:t>
      </w:r>
    </w:p>
    <w:p w14:paraId="48E24CB3" w14:textId="2CA5530F" w:rsidR="0032059A" w:rsidRDefault="0032059A" w:rsidP="00353FDE">
      <w:pPr>
        <w:ind w:left="720"/>
        <w:rPr>
          <w:rFonts w:ascii="Calibri" w:eastAsia="Calibri" w:hAnsi="Calibri" w:cs="Calibri"/>
          <w:sz w:val="22"/>
          <w:szCs w:val="22"/>
        </w:rPr>
      </w:pPr>
    </w:p>
    <w:p w14:paraId="5D702CBB" w14:textId="45D35EE5" w:rsidR="0032059A" w:rsidRDefault="00D556DA" w:rsidP="00353FDE">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75328" behindDoc="0" locked="0" layoutInCell="1" allowOverlap="1" wp14:anchorId="622D0AC8" wp14:editId="4986D203">
            <wp:simplePos x="0" y="0"/>
            <wp:positionH relativeFrom="column">
              <wp:posOffset>76403</wp:posOffset>
            </wp:positionH>
            <wp:positionV relativeFrom="paragraph">
              <wp:posOffset>162560</wp:posOffset>
            </wp:positionV>
            <wp:extent cx="348615" cy="348615"/>
            <wp:effectExtent l="0" t="12700" r="32385" b="45085"/>
            <wp:wrapNone/>
            <wp:docPr id="80" name="Graphique 80"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zIolAQ.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8615" cy="348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059A">
        <w:rPr>
          <w:rFonts w:ascii="Calibri" w:eastAsia="Calibri" w:hAnsi="Calibri" w:cs="Calibri"/>
          <w:sz w:val="22"/>
          <w:szCs w:val="22"/>
        </w:rPr>
        <w:t xml:space="preserve">Processus de référencement des services tiers appelés à être exposés et interfacés avec l’ENS : les membres de la FEIMA </w:t>
      </w:r>
      <w:r>
        <w:rPr>
          <w:rFonts w:ascii="Calibri" w:eastAsia="Calibri" w:hAnsi="Calibri" w:cs="Calibri"/>
          <w:sz w:val="22"/>
          <w:szCs w:val="22"/>
        </w:rPr>
        <w:t>sont prêts à se mobiliser dans le cadre du processus de concertation visant à déterminer les modalités d’interopérabilité et les modalités de référencement des services qu’ils portent et qui sont candidats à une intégration au sein de l’ENS.</w:t>
      </w:r>
    </w:p>
    <w:p w14:paraId="32A79110" w14:textId="6174EE60" w:rsidR="00D556DA" w:rsidRDefault="00D556DA" w:rsidP="00353FDE">
      <w:pPr>
        <w:ind w:left="720"/>
        <w:rPr>
          <w:rFonts w:ascii="Calibri" w:eastAsia="Calibri" w:hAnsi="Calibri" w:cs="Calibri"/>
          <w:sz w:val="22"/>
          <w:szCs w:val="22"/>
        </w:rPr>
      </w:pPr>
    </w:p>
    <w:p w14:paraId="6032E5C0" w14:textId="1BA4DE9A" w:rsidR="00EE0CAD" w:rsidRDefault="00EE0CAD" w:rsidP="00914819">
      <w:pPr>
        <w:rPr>
          <w:rFonts w:ascii="Calibri" w:eastAsia="Calibri" w:hAnsi="Calibri" w:cs="Calibri"/>
          <w:sz w:val="22"/>
          <w:szCs w:val="22"/>
        </w:rPr>
      </w:pPr>
    </w:p>
    <w:p w14:paraId="1EFC8A59" w14:textId="686CEC89" w:rsidR="00EE0CAD" w:rsidRPr="00353B16" w:rsidRDefault="00EE0CAD" w:rsidP="00744E85">
      <w:pPr>
        <w:pStyle w:val="Paragraphedeliste"/>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sidRPr="00353B16">
        <w:rPr>
          <w:rFonts w:ascii="Calibri" w:eastAsia="Calibri" w:hAnsi="Calibri" w:cs="Calibri"/>
          <w:sz w:val="22"/>
          <w:szCs w:val="22"/>
          <w:u w:val="single"/>
          <w:bdr w:val="none" w:sz="0" w:space="0" w:color="auto"/>
          <w:lang w:val="fr-FR"/>
        </w:rPr>
        <w:t>Bouquet de services Pro</w:t>
      </w:r>
    </w:p>
    <w:p w14:paraId="35BB27CD" w14:textId="658457FB" w:rsidR="00EE0CAD" w:rsidRDefault="00265ACC" w:rsidP="00914819">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77376" behindDoc="0" locked="0" layoutInCell="1" allowOverlap="1" wp14:anchorId="697C71B8" wp14:editId="226B1C98">
            <wp:simplePos x="0" y="0"/>
            <wp:positionH relativeFrom="column">
              <wp:posOffset>75362</wp:posOffset>
            </wp:positionH>
            <wp:positionV relativeFrom="paragraph">
              <wp:posOffset>162560</wp:posOffset>
            </wp:positionV>
            <wp:extent cx="348615" cy="348615"/>
            <wp:effectExtent l="0" t="12700" r="32385" b="45085"/>
            <wp:wrapNone/>
            <wp:docPr id="81" name="Graphique 81"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zIolAQ.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8615" cy="348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4827B6D" w14:textId="21BB0F20" w:rsidR="00353FDE" w:rsidRDefault="00292BED" w:rsidP="00353FDE">
      <w:pPr>
        <w:ind w:left="720"/>
        <w:rPr>
          <w:rFonts w:ascii="Calibri" w:eastAsia="Calibri" w:hAnsi="Calibri" w:cs="Calibri"/>
          <w:sz w:val="22"/>
          <w:szCs w:val="22"/>
        </w:rPr>
      </w:pPr>
      <w:r>
        <w:rPr>
          <w:rFonts w:ascii="Calibri" w:eastAsia="Calibri" w:hAnsi="Calibri" w:cs="Calibri"/>
          <w:sz w:val="22"/>
          <w:szCs w:val="22"/>
        </w:rPr>
        <w:t>La FEIMA, en sa</w:t>
      </w:r>
      <w:r>
        <w:rPr>
          <w:rFonts w:ascii="Calibri" w:eastAsia="Calibri" w:hAnsi="Calibri" w:cs="Calibri"/>
          <w:sz w:val="22"/>
          <w:szCs w:val="22"/>
        </w:rPr>
        <w:tab/>
        <w:t xml:space="preserve"> qualité d’organisation représentative des éditeurs du secteur ambulatoire</w:t>
      </w:r>
      <w:r w:rsidR="00D33B0D">
        <w:rPr>
          <w:rFonts w:ascii="Calibri" w:eastAsia="Calibri" w:hAnsi="Calibri" w:cs="Calibri"/>
          <w:sz w:val="22"/>
          <w:szCs w:val="22"/>
        </w:rPr>
        <w:t xml:space="preserve"> et riche de dispositifs de concertation qu’elle a mis en place avec les professionnels du secteur, est prête à se mobiliser aux côtés de la DNS pour définir les modalités efficiente</w:t>
      </w:r>
      <w:r w:rsidR="00C81297">
        <w:rPr>
          <w:rFonts w:ascii="Calibri" w:eastAsia="Calibri" w:hAnsi="Calibri" w:cs="Calibri"/>
          <w:sz w:val="22"/>
          <w:szCs w:val="22"/>
        </w:rPr>
        <w:t>s</w:t>
      </w:r>
      <w:r w:rsidR="00D33B0D">
        <w:rPr>
          <w:rFonts w:ascii="Calibri" w:eastAsia="Calibri" w:hAnsi="Calibri" w:cs="Calibri"/>
          <w:sz w:val="22"/>
          <w:szCs w:val="22"/>
        </w:rPr>
        <w:t xml:space="preserve"> de travail collaboratif à mettre en place et engager les travaux </w:t>
      </w:r>
      <w:r w:rsidR="00C81297">
        <w:rPr>
          <w:rFonts w:ascii="Calibri" w:eastAsia="Calibri" w:hAnsi="Calibri" w:cs="Calibri"/>
          <w:sz w:val="22"/>
          <w:szCs w:val="22"/>
        </w:rPr>
        <w:t xml:space="preserve">de construction du bouquet de services. </w:t>
      </w:r>
    </w:p>
    <w:p w14:paraId="0118E8FA" w14:textId="33AE6AE1" w:rsidR="00C81297" w:rsidRDefault="00C81297" w:rsidP="00353FDE">
      <w:pPr>
        <w:ind w:left="720"/>
        <w:rPr>
          <w:rFonts w:ascii="Calibri" w:eastAsia="Calibri" w:hAnsi="Calibri" w:cs="Calibri"/>
          <w:sz w:val="22"/>
          <w:szCs w:val="22"/>
        </w:rPr>
      </w:pPr>
    </w:p>
    <w:p w14:paraId="6367397D" w14:textId="0A154B3A" w:rsidR="00EE0CAD" w:rsidRDefault="00EE0CAD" w:rsidP="00914819">
      <w:pPr>
        <w:rPr>
          <w:rFonts w:ascii="Calibri" w:eastAsia="Calibri" w:hAnsi="Calibri" w:cs="Calibri"/>
          <w:sz w:val="22"/>
          <w:szCs w:val="22"/>
        </w:rPr>
      </w:pPr>
    </w:p>
    <w:p w14:paraId="6DF3A93D" w14:textId="06A8C2B6" w:rsidR="00EE0CAD" w:rsidRPr="00353B16" w:rsidRDefault="00EE0CAD" w:rsidP="00744E85">
      <w:pPr>
        <w:pStyle w:val="Paragraphedeliste"/>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sidRPr="00353B16">
        <w:rPr>
          <w:rFonts w:ascii="Calibri" w:eastAsia="Calibri" w:hAnsi="Calibri" w:cs="Calibri"/>
          <w:sz w:val="22"/>
          <w:szCs w:val="22"/>
          <w:u w:val="single"/>
          <w:bdr w:val="none" w:sz="0" w:space="0" w:color="auto"/>
          <w:lang w:val="fr-FR"/>
        </w:rPr>
        <w:t>Health Data Hub</w:t>
      </w:r>
    </w:p>
    <w:p w14:paraId="178EE400" w14:textId="13427E63" w:rsidR="00141CF4" w:rsidRDefault="00141CF4" w:rsidP="00914819">
      <w:pPr>
        <w:rPr>
          <w:rFonts w:ascii="Calibri" w:eastAsia="Calibri" w:hAnsi="Calibri" w:cs="Calibri"/>
          <w:sz w:val="22"/>
          <w:szCs w:val="22"/>
        </w:rPr>
      </w:pPr>
    </w:p>
    <w:p w14:paraId="78F74D44" w14:textId="3D3BAD35" w:rsidR="00EE0CAD" w:rsidRDefault="00560AFA" w:rsidP="0032243A">
      <w:pPr>
        <w:ind w:left="720"/>
        <w:rPr>
          <w:rFonts w:ascii="Calibri" w:eastAsia="Calibri" w:hAnsi="Calibri" w:cs="Calibri"/>
          <w:sz w:val="22"/>
          <w:szCs w:val="22"/>
        </w:rPr>
      </w:pPr>
      <w:r>
        <w:rPr>
          <w:rFonts w:ascii="Calibri" w:eastAsia="Calibri" w:hAnsi="Calibri" w:cs="Calibri"/>
          <w:sz w:val="22"/>
          <w:szCs w:val="22"/>
        </w:rPr>
        <w:t xml:space="preserve">Alors que le HDH est destiné à regrouper les données de santé émanant de l’écosystème </w:t>
      </w:r>
      <w:r w:rsidR="0032243A">
        <w:rPr>
          <w:rFonts w:ascii="Calibri" w:eastAsia="Calibri" w:hAnsi="Calibri" w:cs="Calibri"/>
          <w:sz w:val="22"/>
          <w:szCs w:val="22"/>
        </w:rPr>
        <w:t>dans une logique d’ouverture propice au développement de services destinés à améliorer la qualité des soins</w:t>
      </w:r>
      <w:r w:rsidR="009235BB">
        <w:rPr>
          <w:rFonts w:ascii="Calibri" w:eastAsia="Calibri" w:hAnsi="Calibri" w:cs="Calibri"/>
          <w:sz w:val="22"/>
          <w:szCs w:val="22"/>
        </w:rPr>
        <w:t xml:space="preserve"> d’une part et que l’arrêté de constitution du groupement d’intérêt public « plateforme des données de santé » s’est délibérément placé dans une logique d’ouverture</w:t>
      </w:r>
      <w:r w:rsidR="00353FDE">
        <w:rPr>
          <w:rFonts w:ascii="Calibri" w:eastAsia="Calibri" w:hAnsi="Calibri" w:cs="Calibri"/>
          <w:sz w:val="22"/>
          <w:szCs w:val="22"/>
        </w:rPr>
        <w:t xml:space="preserve"> vers une diversité d’acteurs représentatifs, la FEIMA s’étonne de ne pas faire partie du collège industriels.</w:t>
      </w:r>
    </w:p>
    <w:p w14:paraId="3570A930" w14:textId="3E177599" w:rsidR="00353FDE" w:rsidRDefault="00353FDE" w:rsidP="0032243A">
      <w:pPr>
        <w:ind w:left="720"/>
        <w:rPr>
          <w:rFonts w:ascii="Calibri" w:eastAsia="Calibri" w:hAnsi="Calibri" w:cs="Calibri"/>
          <w:sz w:val="22"/>
          <w:szCs w:val="22"/>
        </w:rPr>
      </w:pPr>
    </w:p>
    <w:p w14:paraId="25073C49" w14:textId="3ACEBED0" w:rsidR="00353FDE" w:rsidRDefault="00E77AD0" w:rsidP="0032243A">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92384" behindDoc="0" locked="0" layoutInCell="1" allowOverlap="1" wp14:anchorId="73B3BB5E" wp14:editId="419028C4">
            <wp:simplePos x="0" y="0"/>
            <wp:positionH relativeFrom="column">
              <wp:posOffset>175846</wp:posOffset>
            </wp:positionH>
            <wp:positionV relativeFrom="paragraph">
              <wp:posOffset>68580</wp:posOffset>
            </wp:positionV>
            <wp:extent cx="228600" cy="228600"/>
            <wp:effectExtent l="25400" t="12700" r="76200" b="63500"/>
            <wp:wrapNone/>
            <wp:docPr id="53" name="Graphique 53"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53FDE">
        <w:rPr>
          <w:rFonts w:ascii="Calibri" w:eastAsia="Calibri" w:hAnsi="Calibri" w:cs="Calibri"/>
          <w:sz w:val="22"/>
          <w:szCs w:val="22"/>
        </w:rPr>
        <w:t>Au même titre que la fédération LESSIS pour ce qui concerne le secteur hospitalier, la FEIMA en sa qualité de fournisseur de solutions numériques à une très grande partie des professionnels du premier recours, aurait à tout le moins autant de légitimité que les autres fédérations industrielles à faire partie du collège susmentionné.</w:t>
      </w:r>
    </w:p>
    <w:p w14:paraId="53AA41D7" w14:textId="77777777" w:rsidR="00353FDE" w:rsidRDefault="00353FDE" w:rsidP="0032243A">
      <w:pPr>
        <w:ind w:left="720"/>
        <w:rPr>
          <w:rFonts w:ascii="Calibri" w:eastAsia="Calibri" w:hAnsi="Calibri" w:cs="Calibri"/>
          <w:sz w:val="22"/>
          <w:szCs w:val="22"/>
        </w:rPr>
      </w:pPr>
    </w:p>
    <w:p w14:paraId="0D7971D3" w14:textId="04981E6F" w:rsidR="0032243A" w:rsidRDefault="00DC59B4" w:rsidP="0032243A">
      <w:pPr>
        <w:ind w:left="720"/>
        <w:rPr>
          <w:rFonts w:ascii="Calibri" w:eastAsia="Calibri" w:hAnsi="Calibri" w:cs="Calibri"/>
          <w:sz w:val="22"/>
          <w:szCs w:val="22"/>
        </w:rPr>
      </w:pPr>
      <w:r>
        <w:rPr>
          <w:rFonts w:ascii="Calibri" w:eastAsia="Calibri" w:hAnsi="Calibri" w:cs="Calibri"/>
          <w:sz w:val="22"/>
          <w:szCs w:val="22"/>
        </w:rPr>
        <w:t>Nous réclamons donc que la FEIMA puisse disposer d’un représentant au sein du collège « industriels » du conseil d’administration du GIP « plateforme des données numériques ».</w:t>
      </w:r>
    </w:p>
    <w:p w14:paraId="07C91BD8" w14:textId="48219BF3" w:rsidR="007E17F8" w:rsidRDefault="007E17F8" w:rsidP="0032243A">
      <w:pPr>
        <w:ind w:left="720"/>
        <w:rPr>
          <w:rFonts w:ascii="Calibri" w:eastAsia="Calibri" w:hAnsi="Calibri" w:cs="Calibri"/>
          <w:sz w:val="22"/>
          <w:szCs w:val="22"/>
        </w:rPr>
      </w:pPr>
      <w:r>
        <w:rPr>
          <w:rFonts w:ascii="Calibri" w:eastAsia="Calibri" w:hAnsi="Calibri" w:cs="Calibri"/>
          <w:sz w:val="22"/>
          <w:szCs w:val="22"/>
        </w:rPr>
        <w:lastRenderedPageBreak/>
        <w:t xml:space="preserve">Il serait tout </w:t>
      </w:r>
      <w:r w:rsidR="00945B7A">
        <w:rPr>
          <w:rFonts w:ascii="Calibri" w:eastAsia="Calibri" w:hAnsi="Calibri" w:cs="Calibri"/>
          <w:sz w:val="22"/>
          <w:szCs w:val="22"/>
        </w:rPr>
        <w:t>à fait</w:t>
      </w:r>
      <w:r>
        <w:rPr>
          <w:rFonts w:ascii="Calibri" w:eastAsia="Calibri" w:hAnsi="Calibri" w:cs="Calibri"/>
          <w:sz w:val="22"/>
          <w:szCs w:val="22"/>
        </w:rPr>
        <w:t xml:space="preserve"> regrettable que ne figure</w:t>
      </w:r>
      <w:r w:rsidR="00945B7A">
        <w:rPr>
          <w:rFonts w:ascii="Calibri" w:eastAsia="Calibri" w:hAnsi="Calibri" w:cs="Calibri"/>
          <w:sz w:val="22"/>
          <w:szCs w:val="22"/>
        </w:rPr>
        <w:t>nt</w:t>
      </w:r>
      <w:r>
        <w:rPr>
          <w:rFonts w:ascii="Calibri" w:eastAsia="Calibri" w:hAnsi="Calibri" w:cs="Calibri"/>
          <w:sz w:val="22"/>
          <w:szCs w:val="22"/>
        </w:rPr>
        <w:t xml:space="preserve"> pas au sein de ce collège les acteurs industriels qui sont impliqués au premier chef </w:t>
      </w:r>
      <w:r w:rsidR="00945B7A">
        <w:rPr>
          <w:rFonts w:ascii="Calibri" w:eastAsia="Calibri" w:hAnsi="Calibri" w:cs="Calibri"/>
          <w:sz w:val="22"/>
          <w:szCs w:val="22"/>
        </w:rPr>
        <w:t>sur l’ensemble des problématiques de gestion de données de santé en vie réelle, de structuration, d’échange et de partage de données de santé.</w:t>
      </w:r>
    </w:p>
    <w:p w14:paraId="1C0410CE" w14:textId="77777777" w:rsidR="0032243A" w:rsidRDefault="0032243A" w:rsidP="0032243A">
      <w:pPr>
        <w:ind w:left="720"/>
        <w:rPr>
          <w:rFonts w:ascii="Calibri" w:eastAsia="Calibri" w:hAnsi="Calibri" w:cs="Calibri"/>
          <w:sz w:val="22"/>
          <w:szCs w:val="22"/>
        </w:rPr>
      </w:pPr>
    </w:p>
    <w:p w14:paraId="44A946E2" w14:textId="77777777" w:rsidR="00560AFA" w:rsidRDefault="00560AFA" w:rsidP="00914819">
      <w:pPr>
        <w:rPr>
          <w:rFonts w:ascii="Calibri" w:eastAsia="Calibri" w:hAnsi="Calibri" w:cs="Calibri"/>
          <w:sz w:val="22"/>
          <w:szCs w:val="22"/>
        </w:rPr>
      </w:pPr>
    </w:p>
    <w:p w14:paraId="61FD5AD7" w14:textId="37C4211D" w:rsidR="00EE0CAD" w:rsidRDefault="00EE0CAD" w:rsidP="00914819">
      <w:pPr>
        <w:rPr>
          <w:rFonts w:ascii="Calibri" w:eastAsia="Calibri" w:hAnsi="Calibri" w:cs="Calibri"/>
          <w:sz w:val="22"/>
          <w:szCs w:val="22"/>
        </w:rPr>
      </w:pPr>
    </w:p>
    <w:p w14:paraId="4FE0A524" w14:textId="30DD3CE3" w:rsidR="00EE0CAD" w:rsidRDefault="00EE0CAD">
      <w:pPr>
        <w:rPr>
          <w:rFonts w:ascii="Calibri" w:eastAsia="Calibri" w:hAnsi="Calibri" w:cs="Calibri"/>
          <w:sz w:val="22"/>
          <w:szCs w:val="22"/>
        </w:rPr>
      </w:pPr>
      <w:r>
        <w:rPr>
          <w:rFonts w:ascii="Calibri" w:eastAsia="Calibri" w:hAnsi="Calibri" w:cs="Calibri"/>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EE0CAD" w:rsidRPr="007B3E68" w14:paraId="3D37C499" w14:textId="77777777" w:rsidTr="00F557C7">
        <w:tc>
          <w:tcPr>
            <w:tcW w:w="9628" w:type="dxa"/>
            <w:shd w:val="clear" w:color="auto" w:fill="0081A2"/>
          </w:tcPr>
          <w:p w14:paraId="54C62A1F" w14:textId="77777777" w:rsidR="00EE0CAD" w:rsidRPr="00245C0F" w:rsidRDefault="00EE0CAD" w:rsidP="00F557C7">
            <w:pPr>
              <w:jc w:val="center"/>
              <w:rPr>
                <w:rFonts w:ascii="Raleway" w:hAnsi="Raleway"/>
              </w:rPr>
            </w:pPr>
          </w:p>
          <w:p w14:paraId="514ACA17" w14:textId="1D11ED88" w:rsidR="00EE0CAD" w:rsidRPr="00245C0F" w:rsidRDefault="00EE0CAD" w:rsidP="00F557C7">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Soutenir l’innovation et favoriser l’engagement des acteurs</w:t>
            </w:r>
          </w:p>
        </w:tc>
      </w:tr>
      <w:tr w:rsidR="00EE0CAD" w:rsidRPr="007B3E68" w14:paraId="3FB2E971" w14:textId="77777777" w:rsidTr="00F557C7">
        <w:tc>
          <w:tcPr>
            <w:tcW w:w="9628" w:type="dxa"/>
            <w:shd w:val="clear" w:color="auto" w:fill="0081A2"/>
          </w:tcPr>
          <w:p w14:paraId="1F7DFF2B" w14:textId="77777777" w:rsidR="00EE0CAD" w:rsidRPr="00245C0F" w:rsidRDefault="00EE0CAD" w:rsidP="00F557C7">
            <w:pPr>
              <w:pStyle w:val="Corps"/>
              <w:rPr>
                <w:rFonts w:ascii="Raleway" w:hAnsi="Raleway"/>
              </w:rPr>
            </w:pPr>
          </w:p>
        </w:tc>
      </w:tr>
    </w:tbl>
    <w:p w14:paraId="3275AA61" w14:textId="671623E0" w:rsidR="00EE0CAD" w:rsidRDefault="00EE0CAD" w:rsidP="00914819">
      <w:pPr>
        <w:rPr>
          <w:rFonts w:ascii="Calibri" w:eastAsia="Calibri" w:hAnsi="Calibri" w:cs="Calibri"/>
          <w:sz w:val="22"/>
          <w:szCs w:val="22"/>
        </w:rPr>
      </w:pPr>
    </w:p>
    <w:p w14:paraId="576B4401" w14:textId="491CCF53" w:rsidR="00EE0CAD" w:rsidRDefault="00EE0CAD" w:rsidP="00914819">
      <w:pPr>
        <w:rPr>
          <w:rFonts w:ascii="Calibri" w:eastAsia="Calibri" w:hAnsi="Calibri" w:cs="Calibri"/>
          <w:sz w:val="22"/>
          <w:szCs w:val="22"/>
        </w:rPr>
      </w:pPr>
    </w:p>
    <w:p w14:paraId="714A91BE" w14:textId="17396BF3" w:rsidR="00EE0CAD" w:rsidRPr="00353B16" w:rsidRDefault="00EE0CAD" w:rsidP="00744E85">
      <w:pPr>
        <w:pStyle w:val="Paragraphedeliste"/>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sidRPr="00353B16">
        <w:rPr>
          <w:rFonts w:ascii="Calibri" w:eastAsia="Calibri" w:hAnsi="Calibri" w:cs="Calibri"/>
          <w:sz w:val="22"/>
          <w:szCs w:val="22"/>
          <w:u w:val="single"/>
          <w:bdr w:val="none" w:sz="0" w:space="0" w:color="auto"/>
          <w:lang w:val="fr-FR"/>
        </w:rPr>
        <w:t>Télésanté : télémédecine et télésoin</w:t>
      </w:r>
    </w:p>
    <w:p w14:paraId="10EF1675" w14:textId="136C1234" w:rsidR="00EE0CAD" w:rsidRDefault="00EE0CAD" w:rsidP="00914819">
      <w:pPr>
        <w:rPr>
          <w:rFonts w:ascii="Calibri" w:eastAsia="Calibri" w:hAnsi="Calibri" w:cs="Calibri"/>
          <w:sz w:val="22"/>
          <w:szCs w:val="22"/>
        </w:rPr>
      </w:pPr>
    </w:p>
    <w:p w14:paraId="73AA134E" w14:textId="55FF0AF6" w:rsidR="003A2E1F" w:rsidRDefault="003A2E1F" w:rsidP="003A2E1F">
      <w:pPr>
        <w:ind w:left="720"/>
        <w:rPr>
          <w:rFonts w:ascii="Calibri" w:eastAsia="Calibri" w:hAnsi="Calibri" w:cs="Calibri"/>
          <w:sz w:val="22"/>
          <w:szCs w:val="22"/>
          <w:u w:val="single"/>
        </w:rPr>
      </w:pPr>
      <w:r w:rsidRPr="00AB544B">
        <w:rPr>
          <w:rFonts w:ascii="Calibri" w:eastAsia="Calibri" w:hAnsi="Calibri" w:cs="Calibri"/>
          <w:sz w:val="22"/>
          <w:szCs w:val="22"/>
          <w:u w:val="single"/>
        </w:rPr>
        <w:t xml:space="preserve">Remarques sur le document </w:t>
      </w:r>
      <w:r>
        <w:rPr>
          <w:rFonts w:ascii="Calibri" w:eastAsia="Calibri" w:hAnsi="Calibri" w:cs="Calibri"/>
          <w:sz w:val="22"/>
          <w:szCs w:val="22"/>
          <w:u w:val="single"/>
        </w:rPr>
        <w:t>de doctrine « Télésanté : télémédecine et télésoin »</w:t>
      </w:r>
    </w:p>
    <w:p w14:paraId="5EB38627" w14:textId="369AD562" w:rsidR="003A2E1F" w:rsidRPr="00AB544B" w:rsidRDefault="003A2E1F" w:rsidP="003A2E1F">
      <w:pPr>
        <w:ind w:left="720"/>
        <w:rPr>
          <w:rFonts w:ascii="Calibri" w:eastAsia="Calibri" w:hAnsi="Calibri" w:cs="Calibri"/>
          <w:sz w:val="22"/>
          <w:szCs w:val="22"/>
          <w:u w:val="single"/>
        </w:rPr>
      </w:pPr>
    </w:p>
    <w:p w14:paraId="282E78E3" w14:textId="6CF8DDED" w:rsidR="003A2E1F" w:rsidRDefault="00456B93" w:rsidP="003A2E1F">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79424" behindDoc="0" locked="0" layoutInCell="1" allowOverlap="1" wp14:anchorId="796AC6AF" wp14:editId="374F5C45">
            <wp:simplePos x="0" y="0"/>
            <wp:positionH relativeFrom="column">
              <wp:posOffset>171450</wp:posOffset>
            </wp:positionH>
            <wp:positionV relativeFrom="paragraph">
              <wp:posOffset>87833</wp:posOffset>
            </wp:positionV>
            <wp:extent cx="228600" cy="228600"/>
            <wp:effectExtent l="25400" t="12700" r="76200" b="63500"/>
            <wp:wrapNone/>
            <wp:docPr id="82" name="Graphique 8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A2E1F">
        <w:rPr>
          <w:rFonts w:ascii="Calibri" w:eastAsia="Calibri" w:hAnsi="Calibri" w:cs="Calibri"/>
          <w:sz w:val="22"/>
          <w:szCs w:val="22"/>
        </w:rPr>
        <w:t>L</w:t>
      </w:r>
      <w:r w:rsidR="003A2E1F">
        <w:rPr>
          <w:rFonts w:ascii="Calibri" w:eastAsia="Calibri" w:hAnsi="Calibri" w:cs="Calibri"/>
          <w:sz w:val="22"/>
          <w:szCs w:val="22"/>
        </w:rPr>
        <w:t xml:space="preserve">a FEIMA </w:t>
      </w:r>
      <w:r w:rsidR="009B1173">
        <w:rPr>
          <w:rFonts w:ascii="Calibri" w:eastAsia="Calibri" w:hAnsi="Calibri" w:cs="Calibri"/>
          <w:sz w:val="22"/>
          <w:szCs w:val="22"/>
        </w:rPr>
        <w:t>est opposée aux conditions de recours mentionnées dans le document s’agissant du soutien par les ARS du développement d’outils d</w:t>
      </w:r>
      <w:r>
        <w:rPr>
          <w:rFonts w:ascii="Calibri" w:eastAsia="Calibri" w:hAnsi="Calibri" w:cs="Calibri"/>
          <w:sz w:val="22"/>
          <w:szCs w:val="22"/>
        </w:rPr>
        <w:t>e télésanté, au prétexte d’une complexité des cas d’usages à couvrir.</w:t>
      </w:r>
    </w:p>
    <w:p w14:paraId="34031F85" w14:textId="1A3AAB5C" w:rsidR="003A2E1F" w:rsidRDefault="00456B93" w:rsidP="00456B93">
      <w:pPr>
        <w:ind w:left="720"/>
        <w:rPr>
          <w:rFonts w:ascii="Calibri" w:eastAsia="Calibri" w:hAnsi="Calibri" w:cs="Calibri"/>
          <w:sz w:val="22"/>
          <w:szCs w:val="22"/>
        </w:rPr>
      </w:pPr>
      <w:r>
        <w:rPr>
          <w:rFonts w:ascii="Calibri" w:eastAsia="Calibri" w:hAnsi="Calibri" w:cs="Calibri"/>
          <w:sz w:val="22"/>
          <w:szCs w:val="22"/>
        </w:rPr>
        <w:t>Plusieurs de nos membres ainsi que d’autres acteurs industriels, porteurs d’offres de télésanté, sont d’ores et déjà confrontés à des situations d’usages faisant appel à la mobilisation conjointe de plusieurs professionnels en pratique de téléconsultation ou de téléexpertise (téléconsultation en officine avec médecin distant, téléconsultation à domicile avec infirmière en soutien, téléconsultation en EHPAD avec médecin distant).</w:t>
      </w:r>
    </w:p>
    <w:p w14:paraId="57CCA231" w14:textId="673552A1" w:rsidR="00057206" w:rsidRDefault="00057206" w:rsidP="00456B93">
      <w:pPr>
        <w:ind w:left="720"/>
        <w:rPr>
          <w:rFonts w:ascii="Calibri" w:eastAsia="Calibri" w:hAnsi="Calibri" w:cs="Calibri"/>
          <w:sz w:val="22"/>
          <w:szCs w:val="22"/>
        </w:rPr>
      </w:pPr>
      <w:r>
        <w:rPr>
          <w:rFonts w:ascii="Calibri" w:eastAsia="Calibri" w:hAnsi="Calibri" w:cs="Calibri"/>
          <w:sz w:val="22"/>
          <w:szCs w:val="22"/>
        </w:rPr>
        <w:t>Des solutions ont été mise en œuvre et sont d’ores et déjà opérationnelles, ou sont en cours d’instruction pour répondre à ces cas d’usages sans avoir recours aux services susceptibles d’être portés par les organisations sanitaires territoriales (ARS et GRADEs).</w:t>
      </w:r>
    </w:p>
    <w:p w14:paraId="62F82453" w14:textId="5EA37F56" w:rsidR="00456B93" w:rsidRDefault="00456B93" w:rsidP="00456B93">
      <w:pPr>
        <w:ind w:left="720"/>
        <w:rPr>
          <w:rFonts w:ascii="Calibri" w:eastAsia="Calibri" w:hAnsi="Calibri" w:cs="Calibri"/>
          <w:sz w:val="22"/>
          <w:szCs w:val="22"/>
        </w:rPr>
      </w:pPr>
    </w:p>
    <w:p w14:paraId="4158DF1B" w14:textId="078C1055" w:rsidR="00890D64" w:rsidRDefault="00890D64" w:rsidP="00456B93">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81472" behindDoc="0" locked="0" layoutInCell="1" allowOverlap="1" wp14:anchorId="417216DB" wp14:editId="071EF2DD">
            <wp:simplePos x="0" y="0"/>
            <wp:positionH relativeFrom="column">
              <wp:posOffset>189662</wp:posOffset>
            </wp:positionH>
            <wp:positionV relativeFrom="paragraph">
              <wp:posOffset>182880</wp:posOffset>
            </wp:positionV>
            <wp:extent cx="228600" cy="228600"/>
            <wp:effectExtent l="25400" t="12700" r="76200" b="63500"/>
            <wp:wrapNone/>
            <wp:docPr id="84" name="Graphique 8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2"/>
          <w:szCs w:val="22"/>
        </w:rPr>
        <w:t>Si la FEIMA est favorable aux dispositions exposées en faveur de la mesure de conformité des offres de télésanté aux exigences exposées dans l’outil « Convergence », elle souligne en revanche les insuffisances d’un processus qui se limiterait à une démarche d’autoévaluation, suivie d’un affichage ayant vocation à fournir aux acteurs un éclairage sur les offres.</w:t>
      </w:r>
    </w:p>
    <w:p w14:paraId="6F7E30D4" w14:textId="7306374B" w:rsidR="00890D64" w:rsidRDefault="00890D64" w:rsidP="00456B93">
      <w:pPr>
        <w:ind w:left="720"/>
        <w:rPr>
          <w:rFonts w:ascii="Calibri" w:eastAsia="Calibri" w:hAnsi="Calibri" w:cs="Calibri"/>
          <w:sz w:val="22"/>
          <w:szCs w:val="22"/>
        </w:rPr>
      </w:pPr>
      <w:r>
        <w:rPr>
          <w:rFonts w:ascii="Calibri" w:eastAsia="Calibri" w:hAnsi="Calibri" w:cs="Calibri"/>
          <w:sz w:val="22"/>
          <w:szCs w:val="22"/>
        </w:rPr>
        <w:t xml:space="preserve">Nous considérons qu’il est indispensable de procéder à une vérification </w:t>
      </w:r>
      <w:r w:rsidR="00FD3B81">
        <w:rPr>
          <w:rFonts w:ascii="Calibri" w:eastAsia="Calibri" w:hAnsi="Calibri" w:cs="Calibri"/>
          <w:sz w:val="22"/>
          <w:szCs w:val="22"/>
        </w:rPr>
        <w:t xml:space="preserve">officielle </w:t>
      </w:r>
      <w:r>
        <w:rPr>
          <w:rFonts w:ascii="Calibri" w:eastAsia="Calibri" w:hAnsi="Calibri" w:cs="Calibri"/>
          <w:sz w:val="22"/>
          <w:szCs w:val="22"/>
        </w:rPr>
        <w:t xml:space="preserve">des déclarations qui résultent des autoévaluations réalisées, avant toute publication de </w:t>
      </w:r>
      <w:r w:rsidR="00FD3B81">
        <w:rPr>
          <w:rFonts w:ascii="Calibri" w:eastAsia="Calibri" w:hAnsi="Calibri" w:cs="Calibri"/>
          <w:sz w:val="22"/>
          <w:szCs w:val="22"/>
        </w:rPr>
        <w:t>l’état de conformité des solutions</w:t>
      </w:r>
      <w:r>
        <w:rPr>
          <w:rFonts w:ascii="Calibri" w:eastAsia="Calibri" w:hAnsi="Calibri" w:cs="Calibri"/>
          <w:sz w:val="22"/>
          <w:szCs w:val="22"/>
        </w:rPr>
        <w:t>.</w:t>
      </w:r>
    </w:p>
    <w:p w14:paraId="138A677F" w14:textId="77777777" w:rsidR="00890D64" w:rsidRDefault="00890D64" w:rsidP="00456B93">
      <w:pPr>
        <w:ind w:left="720"/>
        <w:rPr>
          <w:rFonts w:ascii="Calibri" w:eastAsia="Calibri" w:hAnsi="Calibri" w:cs="Calibri"/>
          <w:sz w:val="22"/>
          <w:szCs w:val="22"/>
        </w:rPr>
      </w:pPr>
    </w:p>
    <w:p w14:paraId="188354E5" w14:textId="77777777" w:rsidR="003A2E1F" w:rsidRDefault="003A2E1F" w:rsidP="00914819">
      <w:pPr>
        <w:rPr>
          <w:rFonts w:ascii="Calibri" w:eastAsia="Calibri" w:hAnsi="Calibri" w:cs="Calibri"/>
          <w:sz w:val="22"/>
          <w:szCs w:val="22"/>
        </w:rPr>
      </w:pPr>
    </w:p>
    <w:p w14:paraId="6E2AD035" w14:textId="747F1456" w:rsidR="00AB544B" w:rsidRDefault="00AB544B" w:rsidP="00353FDE">
      <w:pPr>
        <w:ind w:left="720"/>
        <w:rPr>
          <w:rFonts w:ascii="Calibri" w:eastAsia="Calibri" w:hAnsi="Calibri" w:cs="Calibri"/>
          <w:sz w:val="22"/>
          <w:szCs w:val="22"/>
          <w:u w:val="single"/>
        </w:rPr>
      </w:pPr>
      <w:r w:rsidRPr="00AB544B">
        <w:rPr>
          <w:rFonts w:ascii="Calibri" w:eastAsia="Calibri" w:hAnsi="Calibri" w:cs="Calibri"/>
          <w:sz w:val="22"/>
          <w:szCs w:val="22"/>
          <w:u w:val="single"/>
        </w:rPr>
        <w:t>Remarques sur le document « Introduction et concepts clés »</w:t>
      </w:r>
    </w:p>
    <w:p w14:paraId="4A3C1C94" w14:textId="77777777" w:rsidR="004C3DDA" w:rsidRPr="00AB544B" w:rsidRDefault="004C3DDA" w:rsidP="00353FDE">
      <w:pPr>
        <w:ind w:left="720"/>
        <w:rPr>
          <w:rFonts w:ascii="Calibri" w:eastAsia="Calibri" w:hAnsi="Calibri" w:cs="Calibri"/>
          <w:sz w:val="22"/>
          <w:szCs w:val="22"/>
          <w:u w:val="single"/>
        </w:rPr>
      </w:pPr>
    </w:p>
    <w:p w14:paraId="5CC5D0A6" w14:textId="2E6516CA" w:rsidR="00353FDE" w:rsidRDefault="001A730B" w:rsidP="00353FDE">
      <w:pPr>
        <w:ind w:left="720"/>
        <w:rPr>
          <w:rFonts w:ascii="Calibri" w:eastAsia="Calibri" w:hAnsi="Calibri" w:cs="Calibri"/>
          <w:sz w:val="22"/>
          <w:szCs w:val="22"/>
        </w:rPr>
      </w:pPr>
      <w:r>
        <w:rPr>
          <w:rFonts w:ascii="Calibri" w:eastAsia="Calibri" w:hAnsi="Calibri" w:cs="Calibri"/>
          <w:sz w:val="22"/>
          <w:szCs w:val="22"/>
        </w:rPr>
        <w:t>Le schéma illustrant le cas d’usage générique de la téléconsultation (page 7) s’appuie manifestement sur des pratiques issues de l’expérimentation ETAPES. En particulier la phase de planification du rendez-vous indique que le patient se connecte au SI de télémédecine pour prendre un RDV et rechercher un médecin téléconsultant.</w:t>
      </w:r>
      <w:r w:rsidR="00C341AC">
        <w:rPr>
          <w:rFonts w:ascii="Calibri" w:eastAsia="Calibri" w:hAnsi="Calibri" w:cs="Calibri"/>
          <w:sz w:val="22"/>
          <w:szCs w:val="22"/>
        </w:rPr>
        <w:t xml:space="preserve"> </w:t>
      </w:r>
    </w:p>
    <w:p w14:paraId="0AB6BD4E" w14:textId="287AF2AD" w:rsidR="001A730B" w:rsidRDefault="00E77AD0" w:rsidP="001A730B">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94432" behindDoc="0" locked="0" layoutInCell="1" allowOverlap="1" wp14:anchorId="0FBCAAC5" wp14:editId="29DA3D7E">
            <wp:simplePos x="0" y="0"/>
            <wp:positionH relativeFrom="column">
              <wp:posOffset>158261</wp:posOffset>
            </wp:positionH>
            <wp:positionV relativeFrom="paragraph">
              <wp:posOffset>65454</wp:posOffset>
            </wp:positionV>
            <wp:extent cx="228600" cy="228600"/>
            <wp:effectExtent l="25400" t="12700" r="76200" b="63500"/>
            <wp:wrapNone/>
            <wp:docPr id="54" name="Graphique 5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A730B">
        <w:rPr>
          <w:rFonts w:ascii="Calibri" w:eastAsia="Calibri" w:hAnsi="Calibri" w:cs="Calibri"/>
          <w:sz w:val="22"/>
          <w:szCs w:val="22"/>
        </w:rPr>
        <w:t>Ce mode de fonctionnement ne tient pas compte d’autres réalités d’usages auxquelles nous sommes confrontés et qui correspondent à une majeure partie des pratiques constatées. Le patient est fréquemment amené à se connecter à un service de prise de rendez-vous qui mentionne dans la fiche descriptive que le médecin pratique des activités de téléconsultation. Il dispose alors d’une fonction lui permettant d’indiquer que sa demande de rendez-vous est effectuée pour une téléconsultation.</w:t>
      </w:r>
    </w:p>
    <w:p w14:paraId="56B233DC" w14:textId="0D7C6C65" w:rsidR="001A730B" w:rsidRDefault="001A730B" w:rsidP="001A730B">
      <w:pPr>
        <w:ind w:left="720"/>
        <w:rPr>
          <w:rFonts w:ascii="Calibri" w:eastAsia="Calibri" w:hAnsi="Calibri" w:cs="Calibri"/>
          <w:sz w:val="22"/>
          <w:szCs w:val="22"/>
        </w:rPr>
      </w:pPr>
    </w:p>
    <w:p w14:paraId="795720A0" w14:textId="1B89DE0C" w:rsidR="001A730B" w:rsidRDefault="001A730B" w:rsidP="001A730B">
      <w:pPr>
        <w:ind w:left="720"/>
        <w:rPr>
          <w:rFonts w:ascii="Calibri" w:eastAsia="Calibri" w:hAnsi="Calibri" w:cs="Calibri"/>
          <w:sz w:val="22"/>
          <w:szCs w:val="22"/>
        </w:rPr>
      </w:pPr>
      <w:r>
        <w:rPr>
          <w:rFonts w:ascii="Calibri" w:eastAsia="Calibri" w:hAnsi="Calibri" w:cs="Calibri"/>
          <w:sz w:val="22"/>
          <w:szCs w:val="22"/>
        </w:rPr>
        <w:t>Il peut être demandé au patient, lors de la phase de prise de rendez-vous pour une téléconsultation, de</w:t>
      </w:r>
      <w:r w:rsidR="00AB544B">
        <w:rPr>
          <w:rFonts w:ascii="Calibri" w:eastAsia="Calibri" w:hAnsi="Calibri" w:cs="Calibri"/>
          <w:sz w:val="22"/>
          <w:szCs w:val="22"/>
        </w:rPr>
        <w:t xml:space="preserve"> communiquer les informations relatives au moyen de paiement qu’il utilisera pour d’acquitter du coût de l’acte restant à charge.</w:t>
      </w:r>
    </w:p>
    <w:p w14:paraId="58B15478" w14:textId="26026EF0" w:rsidR="00AB544B" w:rsidRDefault="00AB544B" w:rsidP="001A730B">
      <w:pPr>
        <w:ind w:left="720"/>
        <w:rPr>
          <w:rFonts w:ascii="Calibri" w:eastAsia="Calibri" w:hAnsi="Calibri" w:cs="Calibri"/>
          <w:sz w:val="22"/>
          <w:szCs w:val="22"/>
        </w:rPr>
      </w:pPr>
    </w:p>
    <w:p w14:paraId="4666C3E1" w14:textId="131840D0" w:rsidR="00AB544B" w:rsidRDefault="00AB544B" w:rsidP="001A730B">
      <w:pPr>
        <w:ind w:left="720"/>
        <w:rPr>
          <w:rFonts w:ascii="Calibri" w:eastAsia="Calibri" w:hAnsi="Calibri" w:cs="Calibri"/>
          <w:sz w:val="22"/>
          <w:szCs w:val="22"/>
        </w:rPr>
      </w:pPr>
      <w:r>
        <w:rPr>
          <w:rFonts w:ascii="Calibri" w:eastAsia="Calibri" w:hAnsi="Calibri" w:cs="Calibri"/>
          <w:sz w:val="22"/>
          <w:szCs w:val="22"/>
        </w:rPr>
        <w:t>Le recueil de consentement du patient peut se faire au moment de la prise de rendez-vous pour une téléconsultation alors que le schéma indique que cette action est effectuée en phase de réalisation de la téléconsultation.</w:t>
      </w:r>
    </w:p>
    <w:p w14:paraId="193369B0" w14:textId="1962818C" w:rsidR="00AB544B" w:rsidRDefault="00AB544B" w:rsidP="001A730B">
      <w:pPr>
        <w:ind w:left="720"/>
        <w:rPr>
          <w:rFonts w:ascii="Calibri" w:eastAsia="Calibri" w:hAnsi="Calibri" w:cs="Calibri"/>
          <w:sz w:val="22"/>
          <w:szCs w:val="22"/>
        </w:rPr>
      </w:pPr>
    </w:p>
    <w:p w14:paraId="59F1CCF4" w14:textId="247B25DC" w:rsidR="00AB544B" w:rsidRDefault="00AB544B" w:rsidP="001A730B">
      <w:pPr>
        <w:ind w:left="720"/>
        <w:rPr>
          <w:rFonts w:ascii="Calibri" w:eastAsia="Calibri" w:hAnsi="Calibri" w:cs="Calibri"/>
          <w:sz w:val="22"/>
          <w:szCs w:val="22"/>
        </w:rPr>
      </w:pPr>
      <w:r>
        <w:rPr>
          <w:rFonts w:ascii="Calibri" w:eastAsia="Calibri" w:hAnsi="Calibri" w:cs="Calibri"/>
          <w:sz w:val="22"/>
          <w:szCs w:val="22"/>
        </w:rPr>
        <w:lastRenderedPageBreak/>
        <w:t>La phase de paiement et de télétransmission ne mentionne que la transmission d’une FSE alors que des solutions proposent une gestion éclatée de flux vers le régime obligatoire (FSE) et vers les régimes complémentaires (DRE).</w:t>
      </w:r>
    </w:p>
    <w:p w14:paraId="32A77274" w14:textId="5CDEA5C1" w:rsidR="00AB544B" w:rsidRDefault="00AB544B" w:rsidP="001A730B">
      <w:pPr>
        <w:ind w:left="720"/>
        <w:rPr>
          <w:rFonts w:ascii="Calibri" w:eastAsia="Calibri" w:hAnsi="Calibri" w:cs="Calibri"/>
          <w:sz w:val="22"/>
          <w:szCs w:val="22"/>
        </w:rPr>
      </w:pPr>
    </w:p>
    <w:p w14:paraId="6489C03E" w14:textId="2368288A" w:rsidR="00AB544B" w:rsidRDefault="00AB544B" w:rsidP="001A730B">
      <w:pPr>
        <w:ind w:left="720"/>
        <w:rPr>
          <w:rFonts w:ascii="Calibri" w:eastAsia="Calibri" w:hAnsi="Calibri" w:cs="Calibri"/>
          <w:sz w:val="22"/>
          <w:szCs w:val="22"/>
        </w:rPr>
      </w:pPr>
      <w:r>
        <w:rPr>
          <w:rFonts w:ascii="Calibri" w:eastAsia="Calibri" w:hAnsi="Calibri" w:cs="Calibri"/>
          <w:sz w:val="22"/>
          <w:szCs w:val="22"/>
        </w:rPr>
        <w:t>Le descriptif du cas du patient « accompagné » de la page 7 indique que le patient n’interagit pas avec le SI de télémédecine et ne réalise aucune tâche administrative</w:t>
      </w:r>
      <w:r w:rsidR="009F4C90">
        <w:rPr>
          <w:rFonts w:ascii="Calibri" w:eastAsia="Calibri" w:hAnsi="Calibri" w:cs="Calibri"/>
          <w:sz w:val="22"/>
          <w:szCs w:val="22"/>
        </w:rPr>
        <w:t xml:space="preserve"> associée à la téléconsultation. C’est faux pour ce qui concerne le paiement de la prestation.</w:t>
      </w:r>
    </w:p>
    <w:p w14:paraId="0BF7256B" w14:textId="23634434" w:rsidR="009F4C90" w:rsidRDefault="009F4C90" w:rsidP="001A730B">
      <w:pPr>
        <w:ind w:left="720"/>
        <w:rPr>
          <w:rFonts w:ascii="Calibri" w:eastAsia="Calibri" w:hAnsi="Calibri" w:cs="Calibri"/>
          <w:sz w:val="22"/>
          <w:szCs w:val="22"/>
        </w:rPr>
      </w:pPr>
    </w:p>
    <w:p w14:paraId="323C3990" w14:textId="6DE7F1C6" w:rsidR="009F4C90" w:rsidRDefault="009F4C90" w:rsidP="001A730B">
      <w:pPr>
        <w:ind w:left="720"/>
        <w:rPr>
          <w:rFonts w:ascii="Calibri" w:eastAsia="Calibri" w:hAnsi="Calibri" w:cs="Calibri"/>
          <w:sz w:val="22"/>
          <w:szCs w:val="22"/>
        </w:rPr>
      </w:pPr>
      <w:r>
        <w:rPr>
          <w:rFonts w:ascii="Calibri" w:eastAsia="Calibri" w:hAnsi="Calibri" w:cs="Calibri"/>
          <w:sz w:val="22"/>
          <w:szCs w:val="22"/>
        </w:rPr>
        <w:t>Il est par ailleurs fait état des acteurs susceptibles d’accompagner le patient lors de l’acte de téléconsultation. Ne sont mentionnés que les structures médicales ou médico-sociales. Il convient d’ajouter l’officine pharmaceutique.</w:t>
      </w:r>
      <w:r w:rsidR="00C70429">
        <w:rPr>
          <w:rFonts w:ascii="Calibri" w:eastAsia="Calibri" w:hAnsi="Calibri" w:cs="Calibri"/>
          <w:sz w:val="22"/>
          <w:szCs w:val="22"/>
        </w:rPr>
        <w:t xml:space="preserve"> Le schéma de la page 8 doit également être adapté dans ce sens.</w:t>
      </w:r>
    </w:p>
    <w:p w14:paraId="22012C05" w14:textId="22029189" w:rsidR="009F4C90" w:rsidRDefault="009F4C90" w:rsidP="001A730B">
      <w:pPr>
        <w:ind w:left="720"/>
        <w:rPr>
          <w:rFonts w:ascii="Calibri" w:eastAsia="Calibri" w:hAnsi="Calibri" w:cs="Calibri"/>
          <w:sz w:val="22"/>
          <w:szCs w:val="22"/>
        </w:rPr>
      </w:pPr>
    </w:p>
    <w:p w14:paraId="579606D1" w14:textId="44E67D40" w:rsidR="009F4C90" w:rsidRDefault="00E77AD0" w:rsidP="001A730B">
      <w:pPr>
        <w:ind w:left="720"/>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796480" behindDoc="0" locked="0" layoutInCell="1" allowOverlap="1" wp14:anchorId="2990EF8E" wp14:editId="610F45C4">
            <wp:simplePos x="0" y="0"/>
            <wp:positionH relativeFrom="column">
              <wp:posOffset>158262</wp:posOffset>
            </wp:positionH>
            <wp:positionV relativeFrom="paragraph">
              <wp:posOffset>94957</wp:posOffset>
            </wp:positionV>
            <wp:extent cx="228600" cy="228600"/>
            <wp:effectExtent l="25400" t="12700" r="76200" b="63500"/>
            <wp:wrapNone/>
            <wp:docPr id="55" name="Graphique 55"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70429">
        <w:rPr>
          <w:rFonts w:ascii="Calibri" w:eastAsia="Calibri" w:hAnsi="Calibri" w:cs="Calibri"/>
          <w:sz w:val="22"/>
          <w:szCs w:val="22"/>
        </w:rPr>
        <w:t>Le schéma de la page 9 illustrant le cas d’usage générique de la téléexpertise est trop « plateforme centré ».</w:t>
      </w:r>
    </w:p>
    <w:p w14:paraId="029148BE" w14:textId="66B11027" w:rsidR="00C70429" w:rsidRDefault="00BC1D1D" w:rsidP="001A730B">
      <w:pPr>
        <w:ind w:left="720"/>
        <w:rPr>
          <w:rFonts w:ascii="Calibri" w:eastAsia="Calibri" w:hAnsi="Calibri" w:cs="Calibri"/>
          <w:sz w:val="22"/>
          <w:szCs w:val="22"/>
        </w:rPr>
      </w:pPr>
      <w:r>
        <w:rPr>
          <w:rFonts w:ascii="Calibri" w:eastAsia="Calibri" w:hAnsi="Calibri" w:cs="Calibri"/>
          <w:sz w:val="22"/>
          <w:szCs w:val="22"/>
        </w:rPr>
        <w:t>L</w:t>
      </w:r>
      <w:r w:rsidR="00C70429">
        <w:rPr>
          <w:rFonts w:ascii="Calibri" w:eastAsia="Calibri" w:hAnsi="Calibri" w:cs="Calibri"/>
          <w:sz w:val="22"/>
          <w:szCs w:val="22"/>
        </w:rPr>
        <w:t xml:space="preserve">a demande de téléexpertise peut </w:t>
      </w:r>
      <w:r>
        <w:rPr>
          <w:rFonts w:ascii="Calibri" w:eastAsia="Calibri" w:hAnsi="Calibri" w:cs="Calibri"/>
          <w:sz w:val="22"/>
          <w:szCs w:val="22"/>
        </w:rPr>
        <w:t xml:space="preserve">en effet </w:t>
      </w:r>
      <w:r w:rsidR="00C70429">
        <w:rPr>
          <w:rFonts w:ascii="Calibri" w:eastAsia="Calibri" w:hAnsi="Calibri" w:cs="Calibri"/>
          <w:sz w:val="22"/>
          <w:szCs w:val="22"/>
        </w:rPr>
        <w:t xml:space="preserve">être </w:t>
      </w:r>
      <w:r>
        <w:rPr>
          <w:rFonts w:ascii="Calibri" w:eastAsia="Calibri" w:hAnsi="Calibri" w:cs="Calibri"/>
          <w:sz w:val="22"/>
          <w:szCs w:val="22"/>
        </w:rPr>
        <w:t>réalisée</w:t>
      </w:r>
      <w:r w:rsidR="00C70429">
        <w:rPr>
          <w:rFonts w:ascii="Calibri" w:eastAsia="Calibri" w:hAnsi="Calibri" w:cs="Calibri"/>
          <w:sz w:val="22"/>
          <w:szCs w:val="22"/>
        </w:rPr>
        <w:t xml:space="preserve"> </w:t>
      </w:r>
      <w:r>
        <w:rPr>
          <w:rFonts w:ascii="Calibri" w:eastAsia="Calibri" w:hAnsi="Calibri" w:cs="Calibri"/>
          <w:sz w:val="22"/>
          <w:szCs w:val="22"/>
        </w:rPr>
        <w:t>par le médecin requérant vers un PS requis qu’il connaît et adresse directement.</w:t>
      </w:r>
    </w:p>
    <w:p w14:paraId="3B911455" w14:textId="47C5D566" w:rsidR="00BC1D1D" w:rsidRDefault="00BC1D1D" w:rsidP="001A730B">
      <w:pPr>
        <w:ind w:left="720"/>
        <w:rPr>
          <w:rFonts w:ascii="Calibri" w:eastAsia="Calibri" w:hAnsi="Calibri" w:cs="Calibri"/>
          <w:sz w:val="22"/>
          <w:szCs w:val="22"/>
        </w:rPr>
      </w:pPr>
    </w:p>
    <w:p w14:paraId="0B987FB4" w14:textId="2083391E" w:rsidR="00BC1D1D" w:rsidRDefault="00BC1D1D" w:rsidP="001A730B">
      <w:pPr>
        <w:ind w:left="720"/>
        <w:rPr>
          <w:rFonts w:ascii="Calibri" w:eastAsia="Calibri" w:hAnsi="Calibri" w:cs="Calibri"/>
          <w:sz w:val="22"/>
          <w:szCs w:val="22"/>
        </w:rPr>
      </w:pPr>
      <w:r>
        <w:rPr>
          <w:rFonts w:ascii="Calibri" w:eastAsia="Calibri" w:hAnsi="Calibri" w:cs="Calibri"/>
          <w:sz w:val="22"/>
          <w:szCs w:val="22"/>
        </w:rPr>
        <w:t>Remarque identique que ci-dessus pour la phase de télétransmission (FSE + DRE).</w:t>
      </w:r>
    </w:p>
    <w:p w14:paraId="6532F1CA" w14:textId="6E72AD91" w:rsidR="00BC1D1D" w:rsidRDefault="00BC1D1D" w:rsidP="001A730B">
      <w:pPr>
        <w:ind w:left="720"/>
        <w:rPr>
          <w:rFonts w:ascii="Calibri" w:eastAsia="Calibri" w:hAnsi="Calibri" w:cs="Calibri"/>
          <w:sz w:val="22"/>
          <w:szCs w:val="22"/>
        </w:rPr>
      </w:pPr>
    </w:p>
    <w:p w14:paraId="4079960D" w14:textId="23C23A84" w:rsidR="00BC1D1D" w:rsidRDefault="00E615EE" w:rsidP="001A730B">
      <w:pPr>
        <w:ind w:left="720"/>
        <w:rPr>
          <w:rFonts w:ascii="Calibri" w:eastAsia="Calibri" w:hAnsi="Calibri" w:cs="Calibri"/>
          <w:sz w:val="22"/>
          <w:szCs w:val="22"/>
        </w:rPr>
      </w:pPr>
      <w:r>
        <w:rPr>
          <w:rFonts w:ascii="Calibri" w:eastAsia="Calibri" w:hAnsi="Calibri" w:cs="Calibri"/>
          <w:sz w:val="22"/>
          <w:szCs w:val="22"/>
        </w:rPr>
        <w:t>S</w:t>
      </w:r>
      <w:r w:rsidR="00BC1D1D">
        <w:rPr>
          <w:rFonts w:ascii="Calibri" w:eastAsia="Calibri" w:hAnsi="Calibri" w:cs="Calibri"/>
          <w:sz w:val="22"/>
          <w:szCs w:val="22"/>
        </w:rPr>
        <w:t xml:space="preserve">chéma cible d’architecture de la page 10 </w:t>
      </w:r>
    </w:p>
    <w:p w14:paraId="09A6B56D" w14:textId="6F5708A8" w:rsidR="00E615EE" w:rsidRPr="004C3DDA" w:rsidRDefault="00E615EE" w:rsidP="004C3DDA">
      <w:pPr>
        <w:pStyle w:val="Paragraphedeliste"/>
        <w:numPr>
          <w:ilvl w:val="1"/>
          <w:numId w:val="15"/>
        </w:numPr>
        <w:rPr>
          <w:rFonts w:ascii="Calibri" w:eastAsia="Calibri" w:hAnsi="Calibri" w:cs="Calibri"/>
          <w:sz w:val="22"/>
          <w:szCs w:val="22"/>
          <w:lang w:val="fr-FR"/>
        </w:rPr>
      </w:pPr>
      <w:r w:rsidRPr="004C3DDA">
        <w:rPr>
          <w:rFonts w:ascii="Calibri" w:eastAsia="Calibri" w:hAnsi="Calibri" w:cs="Calibri"/>
          <w:sz w:val="22"/>
          <w:szCs w:val="22"/>
          <w:lang w:val="fr-FR"/>
        </w:rPr>
        <w:t>Le dispositif d’identification des patients ne fait pas état du service de dématérialisation de la carte Vitale (apCV) qui est pourtant appelé à être utilisé</w:t>
      </w:r>
      <w:r w:rsidR="004C3DDA" w:rsidRPr="004C3DDA">
        <w:rPr>
          <w:rFonts w:ascii="Calibri" w:eastAsia="Calibri" w:hAnsi="Calibri" w:cs="Calibri"/>
          <w:sz w:val="22"/>
          <w:szCs w:val="22"/>
          <w:lang w:val="fr-FR"/>
        </w:rPr>
        <w:t xml:space="preserve"> de faço</w:t>
      </w:r>
      <w:r w:rsidR="004C3DDA">
        <w:rPr>
          <w:rFonts w:ascii="Calibri" w:eastAsia="Calibri" w:hAnsi="Calibri" w:cs="Calibri"/>
          <w:sz w:val="22"/>
          <w:szCs w:val="22"/>
          <w:lang w:val="fr-FR"/>
        </w:rPr>
        <w:t>n</w:t>
      </w:r>
      <w:r w:rsidR="004C3DDA" w:rsidRPr="004C3DDA">
        <w:rPr>
          <w:rFonts w:ascii="Calibri" w:eastAsia="Calibri" w:hAnsi="Calibri" w:cs="Calibri"/>
          <w:sz w:val="22"/>
          <w:szCs w:val="22"/>
          <w:lang w:val="fr-FR"/>
        </w:rPr>
        <w:t xml:space="preserve"> majeure.</w:t>
      </w:r>
    </w:p>
    <w:p w14:paraId="4F7B999F" w14:textId="575CB8EE" w:rsidR="004C3DDA" w:rsidRDefault="00E77AD0" w:rsidP="004C3DDA">
      <w:pPr>
        <w:pStyle w:val="Paragraphedeliste"/>
        <w:numPr>
          <w:ilvl w:val="1"/>
          <w:numId w:val="15"/>
        </w:numPr>
        <w:rPr>
          <w:rFonts w:ascii="Calibri" w:eastAsia="Calibri" w:hAnsi="Calibri" w:cs="Calibri"/>
          <w:sz w:val="22"/>
          <w:szCs w:val="22"/>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798528" behindDoc="0" locked="0" layoutInCell="1" allowOverlap="1" wp14:anchorId="4F551DF9" wp14:editId="0DA15865">
            <wp:simplePos x="0" y="0"/>
            <wp:positionH relativeFrom="column">
              <wp:posOffset>615461</wp:posOffset>
            </wp:positionH>
            <wp:positionV relativeFrom="paragraph">
              <wp:posOffset>353695</wp:posOffset>
            </wp:positionV>
            <wp:extent cx="228600" cy="228600"/>
            <wp:effectExtent l="25400" t="12700" r="76200" b="63500"/>
            <wp:wrapNone/>
            <wp:docPr id="59" name="Graphique 5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C3DDA">
        <w:rPr>
          <w:rFonts w:ascii="Calibri" w:eastAsia="Calibri" w:hAnsi="Calibri" w:cs="Calibri"/>
          <w:sz w:val="22"/>
          <w:szCs w:val="22"/>
          <w:lang w:val="fr-FR"/>
        </w:rPr>
        <w:t>Le bloc « échange et partage de données médicales entre patient et PS » ne mentionne comme dispositifs existants et cibles que la MSS, le DMP et l’ENS. Il convient d’ajouter les plateformes de services patients qui sont mises en œuvre par les industriels en support des services de télémédecine qu’ils proposent et qui permettre au patient de disposer d’un espace de partage et d’échange de données de santé.</w:t>
      </w:r>
    </w:p>
    <w:p w14:paraId="64CBD5F1" w14:textId="0BECC80B" w:rsidR="004C3DDA" w:rsidRPr="004C3DDA" w:rsidRDefault="004C3DDA" w:rsidP="004C3DDA">
      <w:pPr>
        <w:pStyle w:val="Paragraphedeliste"/>
        <w:numPr>
          <w:ilvl w:val="1"/>
          <w:numId w:val="15"/>
        </w:numPr>
        <w:rPr>
          <w:rFonts w:ascii="Calibri" w:eastAsia="Calibri" w:hAnsi="Calibri" w:cs="Calibri"/>
          <w:sz w:val="22"/>
          <w:szCs w:val="22"/>
          <w:lang w:val="fr-FR"/>
        </w:rPr>
      </w:pPr>
      <w:r>
        <w:rPr>
          <w:rFonts w:ascii="Calibri" w:eastAsia="Calibri" w:hAnsi="Calibri" w:cs="Calibri"/>
          <w:sz w:val="22"/>
          <w:szCs w:val="22"/>
          <w:lang w:val="fr-FR"/>
        </w:rPr>
        <w:t>Le bloc « solutions propriétaires existantes » indique des noms commerciaux de dispositifs de vidéotransmission et de paiement. Eu égard à la position de neutralité que se doit d’avoir l’ANS, ces noms doivent être supprimés du schéma.</w:t>
      </w:r>
    </w:p>
    <w:p w14:paraId="5F38A74E" w14:textId="231F50AC" w:rsidR="004C3DDA" w:rsidRDefault="004C3DDA" w:rsidP="001A730B">
      <w:pPr>
        <w:ind w:left="720"/>
        <w:rPr>
          <w:rFonts w:ascii="Calibri" w:eastAsia="Calibri" w:hAnsi="Calibri" w:cs="Calibri"/>
          <w:sz w:val="22"/>
          <w:szCs w:val="22"/>
        </w:rPr>
      </w:pPr>
    </w:p>
    <w:p w14:paraId="036690A2" w14:textId="77777777" w:rsidR="00C341AC" w:rsidRDefault="00C341AC" w:rsidP="001A730B">
      <w:pPr>
        <w:ind w:left="720"/>
        <w:rPr>
          <w:rFonts w:ascii="Calibri" w:eastAsia="Calibri" w:hAnsi="Calibri" w:cs="Calibri"/>
          <w:sz w:val="22"/>
          <w:szCs w:val="22"/>
        </w:rPr>
      </w:pPr>
    </w:p>
    <w:p w14:paraId="1B768ADB" w14:textId="2F6C9AE5" w:rsidR="004C3DDA" w:rsidRPr="00AB544B" w:rsidRDefault="004C3DDA" w:rsidP="004C3DDA">
      <w:pPr>
        <w:ind w:left="720"/>
        <w:rPr>
          <w:rFonts w:ascii="Calibri" w:eastAsia="Calibri" w:hAnsi="Calibri" w:cs="Calibri"/>
          <w:sz w:val="22"/>
          <w:szCs w:val="22"/>
          <w:u w:val="single"/>
        </w:rPr>
      </w:pPr>
      <w:r w:rsidRPr="00AB544B">
        <w:rPr>
          <w:rFonts w:ascii="Calibri" w:eastAsia="Calibri" w:hAnsi="Calibri" w:cs="Calibri"/>
          <w:sz w:val="22"/>
          <w:szCs w:val="22"/>
          <w:u w:val="single"/>
        </w:rPr>
        <w:t>Remarques sur le document « </w:t>
      </w:r>
      <w:r>
        <w:rPr>
          <w:rFonts w:ascii="Calibri" w:eastAsia="Calibri" w:hAnsi="Calibri" w:cs="Calibri"/>
          <w:sz w:val="22"/>
          <w:szCs w:val="22"/>
          <w:u w:val="single"/>
        </w:rPr>
        <w:t>référentiel fonctionnel socle pour les plateformes de télémédecine – Téléconsultation patient autonome</w:t>
      </w:r>
      <w:r w:rsidRPr="00AB544B">
        <w:rPr>
          <w:rFonts w:ascii="Calibri" w:eastAsia="Calibri" w:hAnsi="Calibri" w:cs="Calibri"/>
          <w:sz w:val="22"/>
          <w:szCs w:val="22"/>
          <w:u w:val="single"/>
        </w:rPr>
        <w:t> »</w:t>
      </w:r>
    </w:p>
    <w:p w14:paraId="52D3BDCB" w14:textId="77777777" w:rsidR="004C3DDA" w:rsidRDefault="004C3DDA" w:rsidP="001A730B">
      <w:pPr>
        <w:ind w:left="720"/>
        <w:rPr>
          <w:rFonts w:ascii="Calibri" w:eastAsia="Calibri" w:hAnsi="Calibri" w:cs="Calibri"/>
          <w:sz w:val="22"/>
          <w:szCs w:val="22"/>
        </w:rPr>
      </w:pPr>
    </w:p>
    <w:p w14:paraId="44A7C61F" w14:textId="78EEE724" w:rsidR="001A730B" w:rsidRDefault="0040690B" w:rsidP="00353FDE">
      <w:pPr>
        <w:ind w:left="720"/>
        <w:rPr>
          <w:rFonts w:ascii="Calibri" w:eastAsia="Calibri" w:hAnsi="Calibri" w:cs="Calibri"/>
          <w:sz w:val="22"/>
          <w:szCs w:val="22"/>
        </w:rPr>
      </w:pPr>
      <w:r>
        <w:rPr>
          <w:rFonts w:ascii="Calibri" w:eastAsia="Calibri" w:hAnsi="Calibri" w:cs="Calibri"/>
          <w:sz w:val="22"/>
          <w:szCs w:val="22"/>
        </w:rPr>
        <w:t>Le terme générique « Plateformes » devrait être remplacé par le terme « Services ».</w:t>
      </w:r>
    </w:p>
    <w:p w14:paraId="75C1880F" w14:textId="1C8DAF26" w:rsidR="0040690B" w:rsidRDefault="0040690B" w:rsidP="00353FDE">
      <w:pPr>
        <w:ind w:left="720"/>
        <w:rPr>
          <w:rFonts w:ascii="Calibri" w:eastAsia="Calibri" w:hAnsi="Calibri" w:cs="Calibri"/>
          <w:sz w:val="22"/>
          <w:szCs w:val="22"/>
        </w:rPr>
      </w:pPr>
    </w:p>
    <w:p w14:paraId="0284F67C" w14:textId="696049F2" w:rsidR="0040690B" w:rsidRDefault="00277F31" w:rsidP="00353FDE">
      <w:pPr>
        <w:ind w:left="720"/>
        <w:rPr>
          <w:rFonts w:ascii="Calibri" w:eastAsia="Calibri" w:hAnsi="Calibri" w:cs="Calibri"/>
          <w:sz w:val="22"/>
          <w:szCs w:val="22"/>
        </w:rPr>
      </w:pPr>
      <w:r>
        <w:rPr>
          <w:rFonts w:ascii="Calibri" w:eastAsia="Calibri" w:hAnsi="Calibri" w:cs="Calibri"/>
          <w:sz w:val="22"/>
          <w:szCs w:val="22"/>
        </w:rPr>
        <w:t>Fonctions d’identification du patient (</w:t>
      </w:r>
      <w:r w:rsidR="000B2DE1">
        <w:rPr>
          <w:rFonts w:ascii="Calibri" w:eastAsia="Calibri" w:hAnsi="Calibri" w:cs="Calibri"/>
          <w:sz w:val="22"/>
          <w:szCs w:val="22"/>
        </w:rPr>
        <w:t>IDP</w:t>
      </w:r>
      <w:r>
        <w:rPr>
          <w:rFonts w:ascii="Calibri" w:eastAsia="Calibri" w:hAnsi="Calibri" w:cs="Calibri"/>
          <w:sz w:val="22"/>
          <w:szCs w:val="22"/>
        </w:rPr>
        <w:t>.1.1)</w:t>
      </w:r>
    </w:p>
    <w:p w14:paraId="3D140E48" w14:textId="6C37EA7A" w:rsidR="00277F31" w:rsidRPr="00F06C8E" w:rsidRDefault="00277F31" w:rsidP="000B2DE1">
      <w:pPr>
        <w:pStyle w:val="Paragraphedeliste"/>
        <w:numPr>
          <w:ilvl w:val="1"/>
          <w:numId w:val="15"/>
        </w:numPr>
        <w:rPr>
          <w:rFonts w:ascii="Calibri" w:eastAsia="Calibri" w:hAnsi="Calibri" w:cs="Calibri"/>
          <w:sz w:val="22"/>
          <w:szCs w:val="22"/>
          <w:lang w:val="fr-FR"/>
        </w:rPr>
      </w:pPr>
      <w:r w:rsidRPr="00F06C8E">
        <w:rPr>
          <w:rFonts w:ascii="Calibri" w:eastAsia="Calibri" w:hAnsi="Calibri" w:cs="Calibri"/>
          <w:sz w:val="22"/>
          <w:szCs w:val="22"/>
          <w:lang w:val="fr-FR"/>
        </w:rPr>
        <w:t>Le descriptif ne mentionne pas l’usage de la carte Vitale dans les cas d’usages qui pourront être réalisés en officine pharmaceutique par exemple.</w:t>
      </w:r>
    </w:p>
    <w:p w14:paraId="2A520F16" w14:textId="717CFE01" w:rsidR="00277F31" w:rsidRPr="00F06C8E" w:rsidRDefault="00277F31" w:rsidP="000B2DE1">
      <w:pPr>
        <w:pStyle w:val="Paragraphedeliste"/>
        <w:numPr>
          <w:ilvl w:val="1"/>
          <w:numId w:val="15"/>
        </w:numPr>
        <w:rPr>
          <w:rFonts w:ascii="Calibri" w:eastAsia="Calibri" w:hAnsi="Calibri" w:cs="Calibri"/>
          <w:sz w:val="22"/>
          <w:szCs w:val="22"/>
          <w:lang w:val="fr-FR"/>
        </w:rPr>
      </w:pPr>
      <w:r w:rsidRPr="00F06C8E">
        <w:rPr>
          <w:rFonts w:ascii="Calibri" w:eastAsia="Calibri" w:hAnsi="Calibri" w:cs="Calibri"/>
          <w:sz w:val="22"/>
          <w:szCs w:val="22"/>
          <w:lang w:val="fr-FR"/>
        </w:rPr>
        <w:t>Il ne mentionne pas non plus les cas d’usages du service dématérialisé apCV qui sera mis en œuvre pour les pratiques à distance.</w:t>
      </w:r>
    </w:p>
    <w:p w14:paraId="63295663" w14:textId="43E3EEB4" w:rsidR="00277F31" w:rsidRDefault="00277F31" w:rsidP="00353FDE">
      <w:pPr>
        <w:ind w:left="720"/>
        <w:rPr>
          <w:rFonts w:ascii="Calibri" w:eastAsia="Calibri" w:hAnsi="Calibri" w:cs="Calibri"/>
          <w:sz w:val="22"/>
          <w:szCs w:val="22"/>
        </w:rPr>
      </w:pPr>
    </w:p>
    <w:p w14:paraId="1A4947F5" w14:textId="73E30F54" w:rsidR="00277F31" w:rsidRDefault="000B2DE1" w:rsidP="00353FDE">
      <w:pPr>
        <w:ind w:left="720"/>
        <w:rPr>
          <w:rFonts w:ascii="Calibri" w:eastAsia="Calibri" w:hAnsi="Calibri" w:cs="Calibri"/>
          <w:sz w:val="22"/>
          <w:szCs w:val="22"/>
        </w:rPr>
      </w:pPr>
      <w:r>
        <w:rPr>
          <w:rFonts w:ascii="Calibri" w:eastAsia="Calibri" w:hAnsi="Calibri" w:cs="Calibri"/>
          <w:sz w:val="22"/>
          <w:szCs w:val="22"/>
        </w:rPr>
        <w:t>Fonctions de gestion du dossier patient (IDP3)</w:t>
      </w:r>
    </w:p>
    <w:p w14:paraId="3A6074FA" w14:textId="7E52C30E" w:rsidR="004C3DDA" w:rsidRPr="00E77AD0" w:rsidRDefault="00E77AD0" w:rsidP="000B2DE1">
      <w:pPr>
        <w:pStyle w:val="Paragraphedeliste"/>
        <w:numPr>
          <w:ilvl w:val="1"/>
          <w:numId w:val="15"/>
        </w:numPr>
        <w:rPr>
          <w:rFonts w:ascii="Calibri" w:eastAsia="Calibri" w:hAnsi="Calibri" w:cs="Calibri"/>
          <w:sz w:val="22"/>
          <w:szCs w:val="22"/>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00576" behindDoc="0" locked="0" layoutInCell="1" allowOverlap="1" wp14:anchorId="071977ED" wp14:editId="4FD042F9">
            <wp:simplePos x="0" y="0"/>
            <wp:positionH relativeFrom="column">
              <wp:posOffset>615462</wp:posOffset>
            </wp:positionH>
            <wp:positionV relativeFrom="paragraph">
              <wp:posOffset>230603</wp:posOffset>
            </wp:positionV>
            <wp:extent cx="228600" cy="228600"/>
            <wp:effectExtent l="25400" t="12700" r="76200" b="63500"/>
            <wp:wrapNone/>
            <wp:docPr id="66" name="Graphique 66"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B2DE1" w:rsidRPr="00F06C8E">
        <w:rPr>
          <w:rFonts w:ascii="Calibri" w:eastAsia="Calibri" w:hAnsi="Calibri" w:cs="Calibri"/>
          <w:sz w:val="22"/>
          <w:szCs w:val="22"/>
          <w:lang w:val="fr-FR"/>
        </w:rPr>
        <w:t>Le descriptif ne fait aucun état de dispositif de télémédecine intégrés avec les logiciels métier des PS qui dans ce cas assurent de manière complète la gestion du dossier patient ainsi que les interactions avec les services socles (MSS, DMP, …).</w:t>
      </w:r>
      <w:r w:rsidR="000B2DE1" w:rsidRPr="00F06C8E">
        <w:rPr>
          <w:rFonts w:ascii="Calibri" w:eastAsia="Calibri" w:hAnsi="Calibri" w:cs="Calibri"/>
          <w:sz w:val="22"/>
          <w:szCs w:val="22"/>
          <w:lang w:val="fr-FR"/>
        </w:rPr>
        <w:br/>
      </w:r>
      <w:r w:rsidR="000B2DE1" w:rsidRPr="00E77AD0">
        <w:rPr>
          <w:rFonts w:ascii="Calibri" w:eastAsia="Calibri" w:hAnsi="Calibri" w:cs="Calibri"/>
          <w:sz w:val="22"/>
          <w:szCs w:val="22"/>
          <w:lang w:val="fr-FR"/>
        </w:rPr>
        <w:t>Le descriptif doit être complété dans ce sens.</w:t>
      </w:r>
    </w:p>
    <w:p w14:paraId="0E3D58C6" w14:textId="77777777" w:rsidR="00546E6D" w:rsidRDefault="00546E6D" w:rsidP="00353FDE">
      <w:pPr>
        <w:ind w:left="720"/>
        <w:rPr>
          <w:rFonts w:ascii="Calibri" w:eastAsia="Calibri" w:hAnsi="Calibri" w:cs="Calibri"/>
          <w:sz w:val="22"/>
          <w:szCs w:val="22"/>
        </w:rPr>
      </w:pPr>
    </w:p>
    <w:p w14:paraId="5DFEAB75" w14:textId="78812A36" w:rsidR="000B2DE1" w:rsidRDefault="002B4BE0" w:rsidP="00353FDE">
      <w:pPr>
        <w:ind w:left="720"/>
        <w:rPr>
          <w:rFonts w:ascii="Calibri" w:eastAsia="Calibri" w:hAnsi="Calibri" w:cs="Calibri"/>
          <w:sz w:val="22"/>
          <w:szCs w:val="22"/>
        </w:rPr>
      </w:pPr>
      <w:r>
        <w:rPr>
          <w:rFonts w:ascii="Calibri" w:eastAsia="Calibri" w:hAnsi="Calibri" w:cs="Calibri"/>
          <w:sz w:val="22"/>
          <w:szCs w:val="22"/>
        </w:rPr>
        <w:t>Fonctions de conclusion de l’acte de téléconsultation</w:t>
      </w:r>
    </w:p>
    <w:p w14:paraId="0C13C46A" w14:textId="05916856" w:rsidR="004C3DDA" w:rsidRPr="00F06C8E" w:rsidRDefault="00E77AD0" w:rsidP="00546E6D">
      <w:pPr>
        <w:pStyle w:val="Paragraphedeliste"/>
        <w:numPr>
          <w:ilvl w:val="1"/>
          <w:numId w:val="15"/>
        </w:numPr>
        <w:rPr>
          <w:rFonts w:ascii="Calibri" w:eastAsia="Calibri" w:hAnsi="Calibri" w:cs="Calibri"/>
          <w:sz w:val="22"/>
          <w:szCs w:val="22"/>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02624" behindDoc="0" locked="0" layoutInCell="1" allowOverlap="1" wp14:anchorId="72112614" wp14:editId="4EAF4F2F">
            <wp:simplePos x="0" y="0"/>
            <wp:positionH relativeFrom="column">
              <wp:posOffset>615462</wp:posOffset>
            </wp:positionH>
            <wp:positionV relativeFrom="paragraph">
              <wp:posOffset>229967</wp:posOffset>
            </wp:positionV>
            <wp:extent cx="228600" cy="228600"/>
            <wp:effectExtent l="25400" t="12700" r="76200" b="63500"/>
            <wp:wrapNone/>
            <wp:docPr id="67" name="Graphique 6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46E6D" w:rsidRPr="00F06C8E">
        <w:rPr>
          <w:rFonts w:ascii="Calibri" w:eastAsia="Calibri" w:hAnsi="Calibri" w:cs="Calibri"/>
          <w:sz w:val="22"/>
          <w:szCs w:val="22"/>
          <w:lang w:val="fr-FR"/>
        </w:rPr>
        <w:t xml:space="preserve">Le descriptif des fonctions ne mentionne pas le cas de figure, pourtant optimal pour supporter les pratiques de téléconsultation, </w:t>
      </w:r>
      <w:r w:rsidR="00BF5F74">
        <w:rPr>
          <w:rFonts w:ascii="Calibri" w:eastAsia="Calibri" w:hAnsi="Calibri" w:cs="Calibri"/>
          <w:sz w:val="22"/>
          <w:szCs w:val="22"/>
          <w:lang w:val="fr-FR"/>
        </w:rPr>
        <w:t xml:space="preserve">relevant d’une </w:t>
      </w:r>
      <w:r w:rsidR="00546E6D" w:rsidRPr="00F06C8E">
        <w:rPr>
          <w:rFonts w:ascii="Calibri" w:eastAsia="Calibri" w:hAnsi="Calibri" w:cs="Calibri"/>
          <w:sz w:val="22"/>
          <w:szCs w:val="22"/>
          <w:lang w:val="fr-FR"/>
        </w:rPr>
        <w:t xml:space="preserve">intégration des services de </w:t>
      </w:r>
      <w:r w:rsidR="00546E6D" w:rsidRPr="00F06C8E">
        <w:rPr>
          <w:rFonts w:ascii="Calibri" w:eastAsia="Calibri" w:hAnsi="Calibri" w:cs="Calibri"/>
          <w:sz w:val="22"/>
          <w:szCs w:val="22"/>
          <w:lang w:val="fr-FR"/>
        </w:rPr>
        <w:lastRenderedPageBreak/>
        <w:t>téléconsultation avec le logiciels métier du PS. Dans ce cas de figure, l’ensemble des fonctions décrites en CCL.1 sont prise en charge le LPS.</w:t>
      </w:r>
    </w:p>
    <w:p w14:paraId="552A962E" w14:textId="628360D8" w:rsidR="002B4BE0" w:rsidRDefault="002B4BE0" w:rsidP="00353FDE">
      <w:pPr>
        <w:ind w:left="720"/>
        <w:rPr>
          <w:rFonts w:ascii="Calibri" w:eastAsia="Calibri" w:hAnsi="Calibri" w:cs="Calibri"/>
          <w:sz w:val="22"/>
          <w:szCs w:val="22"/>
        </w:rPr>
      </w:pPr>
    </w:p>
    <w:p w14:paraId="65273228" w14:textId="4A9FCDBC" w:rsidR="00546E6D" w:rsidRDefault="00546E6D" w:rsidP="00353FDE">
      <w:pPr>
        <w:ind w:left="720"/>
        <w:rPr>
          <w:rFonts w:ascii="Calibri" w:eastAsia="Calibri" w:hAnsi="Calibri" w:cs="Calibri"/>
          <w:sz w:val="22"/>
          <w:szCs w:val="22"/>
        </w:rPr>
      </w:pPr>
      <w:r>
        <w:rPr>
          <w:rFonts w:ascii="Calibri" w:eastAsia="Calibri" w:hAnsi="Calibri" w:cs="Calibri"/>
          <w:sz w:val="22"/>
          <w:szCs w:val="22"/>
        </w:rPr>
        <w:t>Fonctions</w:t>
      </w:r>
      <w:r w:rsidR="007136F8">
        <w:rPr>
          <w:rFonts w:ascii="Calibri" w:eastAsia="Calibri" w:hAnsi="Calibri" w:cs="Calibri"/>
          <w:sz w:val="22"/>
          <w:szCs w:val="22"/>
        </w:rPr>
        <w:t xml:space="preserve"> de paiement d’un acte de téléconsultation</w:t>
      </w:r>
    </w:p>
    <w:p w14:paraId="6FA475FE" w14:textId="74CCC239" w:rsidR="007136F8" w:rsidRPr="00F06C8E" w:rsidRDefault="00E77AD0" w:rsidP="007136F8">
      <w:pPr>
        <w:pStyle w:val="Paragraphedeliste"/>
        <w:numPr>
          <w:ilvl w:val="1"/>
          <w:numId w:val="15"/>
        </w:numPr>
        <w:rPr>
          <w:rFonts w:ascii="Calibri" w:eastAsia="Calibri" w:hAnsi="Calibri" w:cs="Calibri"/>
          <w:sz w:val="22"/>
          <w:szCs w:val="22"/>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04672" behindDoc="0" locked="0" layoutInCell="1" allowOverlap="1" wp14:anchorId="12A753A1" wp14:editId="2B552DDA">
            <wp:simplePos x="0" y="0"/>
            <wp:positionH relativeFrom="column">
              <wp:posOffset>615462</wp:posOffset>
            </wp:positionH>
            <wp:positionV relativeFrom="paragraph">
              <wp:posOffset>182880</wp:posOffset>
            </wp:positionV>
            <wp:extent cx="228600" cy="228600"/>
            <wp:effectExtent l="25400" t="12700" r="76200" b="63500"/>
            <wp:wrapNone/>
            <wp:docPr id="68" name="Graphique 6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136F8" w:rsidRPr="00F06C8E">
        <w:rPr>
          <w:rFonts w:ascii="Calibri" w:eastAsia="Calibri" w:hAnsi="Calibri" w:cs="Calibri"/>
          <w:sz w:val="22"/>
          <w:szCs w:val="22"/>
          <w:lang w:val="fr-FR"/>
        </w:rPr>
        <w:t>Le descriptif des fonctions PAY.1.11, PAY.1.12 et PAY.1.13 devraient faire état des possibilités d’intégration du dispositif de télémédecine avec le logiciel métier du PS, lequel prend en charge l’ensemble de ces fonctions.</w:t>
      </w:r>
    </w:p>
    <w:p w14:paraId="7129254F" w14:textId="52892D00" w:rsidR="007136F8" w:rsidRDefault="007136F8" w:rsidP="00353FDE">
      <w:pPr>
        <w:ind w:left="720"/>
        <w:rPr>
          <w:rFonts w:ascii="Calibri" w:eastAsia="Calibri" w:hAnsi="Calibri" w:cs="Calibri"/>
          <w:sz w:val="22"/>
          <w:szCs w:val="22"/>
        </w:rPr>
      </w:pPr>
    </w:p>
    <w:p w14:paraId="7569A16F" w14:textId="0D568A16" w:rsidR="007136F8" w:rsidRDefault="007136F8" w:rsidP="007136F8">
      <w:pPr>
        <w:ind w:left="720"/>
        <w:rPr>
          <w:rFonts w:ascii="Calibri" w:eastAsia="Calibri" w:hAnsi="Calibri" w:cs="Calibri"/>
          <w:sz w:val="22"/>
          <w:szCs w:val="22"/>
        </w:rPr>
      </w:pPr>
      <w:r>
        <w:rPr>
          <w:rFonts w:ascii="Calibri" w:eastAsia="Calibri" w:hAnsi="Calibri" w:cs="Calibri"/>
          <w:sz w:val="22"/>
          <w:szCs w:val="22"/>
        </w:rPr>
        <w:t>Fonctions de télétransmission des FSE</w:t>
      </w:r>
    </w:p>
    <w:p w14:paraId="70631808" w14:textId="43D64A32" w:rsidR="007136F8" w:rsidRDefault="007136F8" w:rsidP="007136F8">
      <w:pPr>
        <w:pStyle w:val="Paragraphedeliste"/>
        <w:numPr>
          <w:ilvl w:val="1"/>
          <w:numId w:val="15"/>
        </w:numPr>
        <w:rPr>
          <w:rFonts w:ascii="Calibri" w:eastAsia="Calibri" w:hAnsi="Calibri" w:cs="Calibri"/>
          <w:sz w:val="22"/>
          <w:szCs w:val="22"/>
          <w:lang w:val="fr-FR"/>
        </w:rPr>
      </w:pPr>
      <w:r>
        <w:rPr>
          <w:rFonts w:ascii="Calibri" w:eastAsia="Calibri" w:hAnsi="Calibri" w:cs="Calibri"/>
          <w:sz w:val="22"/>
          <w:szCs w:val="22"/>
          <w:lang w:val="fr-FR"/>
        </w:rPr>
        <w:t>Même remarque que ci-dessus.</w:t>
      </w:r>
    </w:p>
    <w:p w14:paraId="0EE942B3" w14:textId="087A9BA9" w:rsidR="007136F8" w:rsidRPr="007136F8" w:rsidRDefault="007136F8" w:rsidP="007136F8">
      <w:pPr>
        <w:pStyle w:val="Paragraphedeliste"/>
        <w:numPr>
          <w:ilvl w:val="1"/>
          <w:numId w:val="15"/>
        </w:numPr>
        <w:rPr>
          <w:rFonts w:ascii="Calibri" w:eastAsia="Calibri" w:hAnsi="Calibri" w:cs="Calibri"/>
          <w:sz w:val="22"/>
          <w:szCs w:val="22"/>
          <w:lang w:val="fr-FR"/>
        </w:rPr>
      </w:pPr>
      <w:r>
        <w:rPr>
          <w:rFonts w:ascii="Calibri" w:eastAsia="Calibri" w:hAnsi="Calibri" w:cs="Calibri"/>
          <w:sz w:val="22"/>
          <w:szCs w:val="22"/>
          <w:lang w:val="fr-FR"/>
        </w:rPr>
        <w:t>Il convient par ailleurs d’ajouter le flux DRE vers les organismes complémentaires.</w:t>
      </w:r>
    </w:p>
    <w:p w14:paraId="73904904" w14:textId="62B25D96" w:rsidR="007136F8" w:rsidRDefault="007136F8" w:rsidP="00353FDE">
      <w:pPr>
        <w:ind w:left="720"/>
        <w:rPr>
          <w:rFonts w:ascii="Calibri" w:eastAsia="Calibri" w:hAnsi="Calibri" w:cs="Calibri"/>
          <w:sz w:val="22"/>
          <w:szCs w:val="22"/>
        </w:rPr>
      </w:pPr>
    </w:p>
    <w:p w14:paraId="6FBD305C" w14:textId="47F536B4" w:rsidR="007136F8" w:rsidRDefault="007136F8" w:rsidP="00353FDE">
      <w:pPr>
        <w:ind w:left="720"/>
        <w:rPr>
          <w:rFonts w:ascii="Calibri" w:eastAsia="Calibri" w:hAnsi="Calibri" w:cs="Calibri"/>
          <w:sz w:val="22"/>
          <w:szCs w:val="22"/>
        </w:rPr>
      </w:pPr>
    </w:p>
    <w:p w14:paraId="647352DF" w14:textId="429E73B0" w:rsidR="00F06C8E" w:rsidRPr="00AB544B" w:rsidRDefault="00F06C8E" w:rsidP="00F06C8E">
      <w:pPr>
        <w:ind w:left="720"/>
        <w:rPr>
          <w:rFonts w:ascii="Calibri" w:eastAsia="Calibri" w:hAnsi="Calibri" w:cs="Calibri"/>
          <w:sz w:val="22"/>
          <w:szCs w:val="22"/>
          <w:u w:val="single"/>
        </w:rPr>
      </w:pPr>
      <w:r w:rsidRPr="00AB544B">
        <w:rPr>
          <w:rFonts w:ascii="Calibri" w:eastAsia="Calibri" w:hAnsi="Calibri" w:cs="Calibri"/>
          <w:sz w:val="22"/>
          <w:szCs w:val="22"/>
          <w:u w:val="single"/>
        </w:rPr>
        <w:t>Remarques sur le document « </w:t>
      </w:r>
      <w:r>
        <w:rPr>
          <w:rFonts w:ascii="Calibri" w:eastAsia="Calibri" w:hAnsi="Calibri" w:cs="Calibri"/>
          <w:sz w:val="22"/>
          <w:szCs w:val="22"/>
          <w:u w:val="single"/>
        </w:rPr>
        <w:t>référentiel fonctionnel socle pour les plateformes de télémédecine – Téléconsultation patient accompagné</w:t>
      </w:r>
      <w:r w:rsidRPr="00AB544B">
        <w:rPr>
          <w:rFonts w:ascii="Calibri" w:eastAsia="Calibri" w:hAnsi="Calibri" w:cs="Calibri"/>
          <w:sz w:val="22"/>
          <w:szCs w:val="22"/>
          <w:u w:val="single"/>
        </w:rPr>
        <w:t> »</w:t>
      </w:r>
    </w:p>
    <w:p w14:paraId="373F0F3A" w14:textId="77777777" w:rsidR="00F06C8E" w:rsidRDefault="00F06C8E" w:rsidP="00F06C8E">
      <w:pPr>
        <w:ind w:left="720"/>
        <w:rPr>
          <w:rFonts w:ascii="Calibri" w:eastAsia="Calibri" w:hAnsi="Calibri" w:cs="Calibri"/>
          <w:sz w:val="22"/>
          <w:szCs w:val="22"/>
        </w:rPr>
      </w:pPr>
    </w:p>
    <w:p w14:paraId="132F78C9" w14:textId="5FD51D36" w:rsidR="00F06C8E" w:rsidRDefault="00F06C8E" w:rsidP="00F06C8E">
      <w:pPr>
        <w:ind w:left="720"/>
        <w:rPr>
          <w:rFonts w:ascii="Calibri" w:eastAsia="Calibri" w:hAnsi="Calibri" w:cs="Calibri"/>
          <w:sz w:val="22"/>
          <w:szCs w:val="22"/>
        </w:rPr>
      </w:pPr>
      <w:r>
        <w:rPr>
          <w:rFonts w:ascii="Calibri" w:eastAsia="Calibri" w:hAnsi="Calibri" w:cs="Calibri"/>
          <w:sz w:val="22"/>
          <w:szCs w:val="22"/>
        </w:rPr>
        <w:t>Fonctions de gestion du dossier patient (IDP1)</w:t>
      </w:r>
    </w:p>
    <w:p w14:paraId="1F3984CC" w14:textId="1DDC609E" w:rsidR="00F06C8E" w:rsidRPr="00E77AD0" w:rsidRDefault="00E77AD0" w:rsidP="00F06C8E">
      <w:pPr>
        <w:pStyle w:val="Paragraphedeliste"/>
        <w:numPr>
          <w:ilvl w:val="1"/>
          <w:numId w:val="15"/>
        </w:numPr>
        <w:rPr>
          <w:rFonts w:ascii="Calibri" w:eastAsia="Calibri" w:hAnsi="Calibri" w:cs="Calibri"/>
          <w:sz w:val="22"/>
          <w:szCs w:val="22"/>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06720" behindDoc="0" locked="0" layoutInCell="1" allowOverlap="1" wp14:anchorId="42CACCF9" wp14:editId="60B5E3D0">
            <wp:simplePos x="0" y="0"/>
            <wp:positionH relativeFrom="column">
              <wp:posOffset>615462</wp:posOffset>
            </wp:positionH>
            <wp:positionV relativeFrom="paragraph">
              <wp:posOffset>213019</wp:posOffset>
            </wp:positionV>
            <wp:extent cx="228600" cy="228600"/>
            <wp:effectExtent l="25400" t="12700" r="76200" b="63500"/>
            <wp:wrapNone/>
            <wp:docPr id="69" name="Graphique 6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06C8E" w:rsidRPr="00F06C8E">
        <w:rPr>
          <w:rFonts w:ascii="Calibri" w:eastAsia="Calibri" w:hAnsi="Calibri" w:cs="Calibri"/>
          <w:sz w:val="22"/>
          <w:szCs w:val="22"/>
          <w:lang w:val="fr-FR"/>
        </w:rPr>
        <w:t>Le descriptif ne fait aucun état de dispositif de télémédecine intégrés avec les logiciels métier des PS qui dans ce cas assurent de manière complète la gestion du dossier patient ainsi que les interactions avec les services socles (MSS, DMP, …).</w:t>
      </w:r>
      <w:r w:rsidR="00F06C8E" w:rsidRPr="00F06C8E">
        <w:rPr>
          <w:rFonts w:ascii="Calibri" w:eastAsia="Calibri" w:hAnsi="Calibri" w:cs="Calibri"/>
          <w:sz w:val="22"/>
          <w:szCs w:val="22"/>
          <w:lang w:val="fr-FR"/>
        </w:rPr>
        <w:br/>
      </w:r>
      <w:r w:rsidR="00F06C8E" w:rsidRPr="00E77AD0">
        <w:rPr>
          <w:rFonts w:ascii="Calibri" w:eastAsia="Calibri" w:hAnsi="Calibri" w:cs="Calibri"/>
          <w:sz w:val="22"/>
          <w:szCs w:val="22"/>
          <w:lang w:val="fr-FR"/>
        </w:rPr>
        <w:t>Le descriptive doit être complété dans ce sens.</w:t>
      </w:r>
    </w:p>
    <w:p w14:paraId="254065D8" w14:textId="77777777" w:rsidR="007136F8" w:rsidRDefault="007136F8" w:rsidP="00353FDE">
      <w:pPr>
        <w:ind w:left="720"/>
        <w:rPr>
          <w:rFonts w:ascii="Calibri" w:eastAsia="Calibri" w:hAnsi="Calibri" w:cs="Calibri"/>
          <w:sz w:val="22"/>
          <w:szCs w:val="22"/>
        </w:rPr>
      </w:pPr>
    </w:p>
    <w:p w14:paraId="7462EE05" w14:textId="77777777" w:rsidR="00703CF7" w:rsidRDefault="00703CF7" w:rsidP="00703CF7">
      <w:pPr>
        <w:ind w:left="720"/>
        <w:rPr>
          <w:rFonts w:ascii="Calibri" w:eastAsia="Calibri" w:hAnsi="Calibri" w:cs="Calibri"/>
          <w:sz w:val="22"/>
          <w:szCs w:val="22"/>
        </w:rPr>
      </w:pPr>
      <w:r>
        <w:rPr>
          <w:rFonts w:ascii="Calibri" w:eastAsia="Calibri" w:hAnsi="Calibri" w:cs="Calibri"/>
          <w:sz w:val="22"/>
          <w:szCs w:val="22"/>
        </w:rPr>
        <w:t>Fonctions de paiement d’un acte de téléconsultation</w:t>
      </w:r>
    </w:p>
    <w:p w14:paraId="12522EE7" w14:textId="71AFDCAF" w:rsidR="00703CF7" w:rsidRPr="00F06C8E" w:rsidRDefault="00E77AD0" w:rsidP="00703CF7">
      <w:pPr>
        <w:pStyle w:val="Paragraphedeliste"/>
        <w:numPr>
          <w:ilvl w:val="1"/>
          <w:numId w:val="15"/>
        </w:numPr>
        <w:rPr>
          <w:rFonts w:ascii="Calibri" w:eastAsia="Calibri" w:hAnsi="Calibri" w:cs="Calibri"/>
          <w:sz w:val="22"/>
          <w:szCs w:val="22"/>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08768" behindDoc="0" locked="0" layoutInCell="1" allowOverlap="1" wp14:anchorId="22BD80DA" wp14:editId="3C4B32C3">
            <wp:simplePos x="0" y="0"/>
            <wp:positionH relativeFrom="column">
              <wp:posOffset>624253</wp:posOffset>
            </wp:positionH>
            <wp:positionV relativeFrom="paragraph">
              <wp:posOffset>182880</wp:posOffset>
            </wp:positionV>
            <wp:extent cx="228600" cy="228600"/>
            <wp:effectExtent l="25400" t="12700" r="76200" b="63500"/>
            <wp:wrapNone/>
            <wp:docPr id="70" name="Graphique 70"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03CF7" w:rsidRPr="00F06C8E">
        <w:rPr>
          <w:rFonts w:ascii="Calibri" w:eastAsia="Calibri" w:hAnsi="Calibri" w:cs="Calibri"/>
          <w:sz w:val="22"/>
          <w:szCs w:val="22"/>
          <w:lang w:val="fr-FR"/>
        </w:rPr>
        <w:t>Le descriptif des fonctions PAY.1.11, PAY.1.12 et PAY.1.13 devraient faire état des possibilités d’intégration du dispositif de télémédecine avec le logiciel métier du PS, lequel prend en charge l’ensemble de ces fonctions.</w:t>
      </w:r>
    </w:p>
    <w:p w14:paraId="3568110D" w14:textId="75DE1BC5" w:rsidR="007136F8" w:rsidRDefault="007136F8" w:rsidP="00353FDE">
      <w:pPr>
        <w:ind w:left="720"/>
        <w:rPr>
          <w:rFonts w:ascii="Calibri" w:eastAsia="Calibri" w:hAnsi="Calibri" w:cs="Calibri"/>
          <w:sz w:val="22"/>
          <w:szCs w:val="22"/>
        </w:rPr>
      </w:pPr>
    </w:p>
    <w:p w14:paraId="28427049" w14:textId="77777777" w:rsidR="00703CF7" w:rsidRDefault="00703CF7" w:rsidP="00703CF7">
      <w:pPr>
        <w:ind w:left="720"/>
        <w:rPr>
          <w:rFonts w:ascii="Calibri" w:eastAsia="Calibri" w:hAnsi="Calibri" w:cs="Calibri"/>
          <w:sz w:val="22"/>
          <w:szCs w:val="22"/>
        </w:rPr>
      </w:pPr>
      <w:r>
        <w:rPr>
          <w:rFonts w:ascii="Calibri" w:eastAsia="Calibri" w:hAnsi="Calibri" w:cs="Calibri"/>
          <w:sz w:val="22"/>
          <w:szCs w:val="22"/>
        </w:rPr>
        <w:t>Fonctions de télétransmission des FSE</w:t>
      </w:r>
    </w:p>
    <w:p w14:paraId="17DA5D84" w14:textId="77777777" w:rsidR="00703CF7" w:rsidRDefault="00703CF7" w:rsidP="00703CF7">
      <w:pPr>
        <w:pStyle w:val="Paragraphedeliste"/>
        <w:numPr>
          <w:ilvl w:val="1"/>
          <w:numId w:val="15"/>
        </w:numPr>
        <w:rPr>
          <w:rFonts w:ascii="Calibri" w:eastAsia="Calibri" w:hAnsi="Calibri" w:cs="Calibri"/>
          <w:sz w:val="22"/>
          <w:szCs w:val="22"/>
          <w:lang w:val="fr-FR"/>
        </w:rPr>
      </w:pPr>
      <w:r>
        <w:rPr>
          <w:rFonts w:ascii="Calibri" w:eastAsia="Calibri" w:hAnsi="Calibri" w:cs="Calibri"/>
          <w:sz w:val="22"/>
          <w:szCs w:val="22"/>
          <w:lang w:val="fr-FR"/>
        </w:rPr>
        <w:t>Même remarque que ci-dessus.</w:t>
      </w:r>
    </w:p>
    <w:p w14:paraId="2F423EE3" w14:textId="77777777" w:rsidR="00703CF7" w:rsidRPr="007136F8" w:rsidRDefault="00703CF7" w:rsidP="00703CF7">
      <w:pPr>
        <w:pStyle w:val="Paragraphedeliste"/>
        <w:numPr>
          <w:ilvl w:val="1"/>
          <w:numId w:val="15"/>
        </w:numPr>
        <w:rPr>
          <w:rFonts w:ascii="Calibri" w:eastAsia="Calibri" w:hAnsi="Calibri" w:cs="Calibri"/>
          <w:sz w:val="22"/>
          <w:szCs w:val="22"/>
          <w:lang w:val="fr-FR"/>
        </w:rPr>
      </w:pPr>
      <w:r>
        <w:rPr>
          <w:rFonts w:ascii="Calibri" w:eastAsia="Calibri" w:hAnsi="Calibri" w:cs="Calibri"/>
          <w:sz w:val="22"/>
          <w:szCs w:val="22"/>
          <w:lang w:val="fr-FR"/>
        </w:rPr>
        <w:t>Il convient par ailleurs d’ajouter le flux DRE vers les organismes complémentaires.</w:t>
      </w:r>
    </w:p>
    <w:p w14:paraId="64DC5C2F" w14:textId="644E568F" w:rsidR="00703CF7" w:rsidRDefault="00703CF7" w:rsidP="00353FDE">
      <w:pPr>
        <w:ind w:left="720"/>
        <w:rPr>
          <w:rFonts w:ascii="Calibri" w:eastAsia="Calibri" w:hAnsi="Calibri" w:cs="Calibri"/>
          <w:sz w:val="22"/>
          <w:szCs w:val="22"/>
        </w:rPr>
      </w:pPr>
    </w:p>
    <w:p w14:paraId="2C5B89FC" w14:textId="4EC960D0" w:rsidR="004A37E5" w:rsidRDefault="004A37E5" w:rsidP="00353FDE">
      <w:pPr>
        <w:ind w:left="720"/>
        <w:rPr>
          <w:rFonts w:ascii="Calibri" w:eastAsia="Calibri" w:hAnsi="Calibri" w:cs="Calibri"/>
          <w:sz w:val="22"/>
          <w:szCs w:val="22"/>
        </w:rPr>
      </w:pPr>
    </w:p>
    <w:p w14:paraId="2AAC33E7" w14:textId="7AE5D9AD" w:rsidR="004A37E5" w:rsidRPr="00AB544B" w:rsidRDefault="004A37E5" w:rsidP="004A37E5">
      <w:pPr>
        <w:ind w:left="720"/>
        <w:rPr>
          <w:rFonts w:ascii="Calibri" w:eastAsia="Calibri" w:hAnsi="Calibri" w:cs="Calibri"/>
          <w:sz w:val="22"/>
          <w:szCs w:val="22"/>
          <w:u w:val="single"/>
        </w:rPr>
      </w:pPr>
      <w:r w:rsidRPr="00AB544B">
        <w:rPr>
          <w:rFonts w:ascii="Calibri" w:eastAsia="Calibri" w:hAnsi="Calibri" w:cs="Calibri"/>
          <w:sz w:val="22"/>
          <w:szCs w:val="22"/>
          <w:u w:val="single"/>
        </w:rPr>
        <w:t>Remarques sur le document « </w:t>
      </w:r>
      <w:r>
        <w:rPr>
          <w:rFonts w:ascii="Calibri" w:eastAsia="Calibri" w:hAnsi="Calibri" w:cs="Calibri"/>
          <w:sz w:val="22"/>
          <w:szCs w:val="22"/>
          <w:u w:val="single"/>
        </w:rPr>
        <w:t xml:space="preserve">référentiel fonctionnel socle pour les plateformes de télémédecine – Téléexpertise </w:t>
      </w:r>
      <w:r w:rsidRPr="00AB544B">
        <w:rPr>
          <w:rFonts w:ascii="Calibri" w:eastAsia="Calibri" w:hAnsi="Calibri" w:cs="Calibri"/>
          <w:sz w:val="22"/>
          <w:szCs w:val="22"/>
          <w:u w:val="single"/>
        </w:rPr>
        <w:t>»</w:t>
      </w:r>
    </w:p>
    <w:p w14:paraId="2B4FEB47" w14:textId="77777777" w:rsidR="004A37E5" w:rsidRDefault="004A37E5" w:rsidP="004A37E5">
      <w:pPr>
        <w:ind w:left="720"/>
        <w:rPr>
          <w:rFonts w:ascii="Calibri" w:eastAsia="Calibri" w:hAnsi="Calibri" w:cs="Calibri"/>
          <w:sz w:val="22"/>
          <w:szCs w:val="22"/>
        </w:rPr>
      </w:pPr>
    </w:p>
    <w:p w14:paraId="090322AB" w14:textId="77777777" w:rsidR="00C05C07" w:rsidRDefault="00C05C07" w:rsidP="00C05C07">
      <w:pPr>
        <w:ind w:left="720"/>
        <w:rPr>
          <w:rFonts w:ascii="Calibri" w:eastAsia="Calibri" w:hAnsi="Calibri" w:cs="Calibri"/>
          <w:sz w:val="22"/>
          <w:szCs w:val="22"/>
        </w:rPr>
      </w:pPr>
      <w:r>
        <w:rPr>
          <w:rFonts w:ascii="Calibri" w:eastAsia="Calibri" w:hAnsi="Calibri" w:cs="Calibri"/>
          <w:sz w:val="22"/>
          <w:szCs w:val="22"/>
        </w:rPr>
        <w:t>Fonctions de gestion du dossier patient (IDP1)</w:t>
      </w:r>
    </w:p>
    <w:p w14:paraId="5855BFCE" w14:textId="1A699D5B" w:rsidR="00C05C07" w:rsidRPr="00E77AD0" w:rsidRDefault="00E77AD0" w:rsidP="00C05C07">
      <w:pPr>
        <w:pStyle w:val="Paragraphedeliste"/>
        <w:numPr>
          <w:ilvl w:val="1"/>
          <w:numId w:val="15"/>
        </w:numPr>
        <w:rPr>
          <w:rFonts w:ascii="Calibri" w:eastAsia="Calibri" w:hAnsi="Calibri" w:cs="Calibri"/>
          <w:sz w:val="22"/>
          <w:szCs w:val="22"/>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10816" behindDoc="0" locked="0" layoutInCell="1" allowOverlap="1" wp14:anchorId="05AE087F" wp14:editId="06BE47B7">
            <wp:simplePos x="0" y="0"/>
            <wp:positionH relativeFrom="column">
              <wp:posOffset>624254</wp:posOffset>
            </wp:positionH>
            <wp:positionV relativeFrom="paragraph">
              <wp:posOffset>229967</wp:posOffset>
            </wp:positionV>
            <wp:extent cx="228600" cy="228600"/>
            <wp:effectExtent l="25400" t="12700" r="76200" b="63500"/>
            <wp:wrapNone/>
            <wp:docPr id="71" name="Graphique 71"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05C07" w:rsidRPr="00F06C8E">
        <w:rPr>
          <w:rFonts w:ascii="Calibri" w:eastAsia="Calibri" w:hAnsi="Calibri" w:cs="Calibri"/>
          <w:sz w:val="22"/>
          <w:szCs w:val="22"/>
          <w:lang w:val="fr-FR"/>
        </w:rPr>
        <w:t>Le descriptif ne fait aucun état de dispositif de télémédecine intégrés avec les logiciels métier des PS qui dans ce cas assurent de manière complète la gestion du dossier patient ainsi que les interactions avec les services socles (MSS, DMP, …).</w:t>
      </w:r>
      <w:r w:rsidR="00C05C07" w:rsidRPr="00F06C8E">
        <w:rPr>
          <w:rFonts w:ascii="Calibri" w:eastAsia="Calibri" w:hAnsi="Calibri" w:cs="Calibri"/>
          <w:sz w:val="22"/>
          <w:szCs w:val="22"/>
          <w:lang w:val="fr-FR"/>
        </w:rPr>
        <w:br/>
      </w:r>
      <w:r w:rsidR="00C05C07" w:rsidRPr="00E77AD0">
        <w:rPr>
          <w:rFonts w:ascii="Calibri" w:eastAsia="Calibri" w:hAnsi="Calibri" w:cs="Calibri"/>
          <w:sz w:val="22"/>
          <w:szCs w:val="22"/>
          <w:lang w:val="fr-FR"/>
        </w:rPr>
        <w:t>Le descriptive doit être complété dans ce sens.</w:t>
      </w:r>
    </w:p>
    <w:p w14:paraId="3401CBC6" w14:textId="692BA4FA" w:rsidR="004A37E5" w:rsidRDefault="004A37E5" w:rsidP="004A37E5">
      <w:pPr>
        <w:ind w:left="720"/>
        <w:rPr>
          <w:rFonts w:ascii="Calibri" w:eastAsia="Calibri" w:hAnsi="Calibri" w:cs="Calibri"/>
          <w:sz w:val="22"/>
          <w:szCs w:val="22"/>
        </w:rPr>
      </w:pPr>
    </w:p>
    <w:p w14:paraId="620448DC" w14:textId="2194827F" w:rsidR="00C05C07" w:rsidRDefault="00C05C07" w:rsidP="00C05C07">
      <w:pPr>
        <w:ind w:left="720"/>
        <w:rPr>
          <w:rFonts w:ascii="Calibri" w:eastAsia="Calibri" w:hAnsi="Calibri" w:cs="Calibri"/>
          <w:sz w:val="22"/>
          <w:szCs w:val="22"/>
        </w:rPr>
      </w:pPr>
      <w:r>
        <w:rPr>
          <w:rFonts w:ascii="Calibri" w:eastAsia="Calibri" w:hAnsi="Calibri" w:cs="Calibri"/>
          <w:sz w:val="22"/>
          <w:szCs w:val="22"/>
        </w:rPr>
        <w:t>Dépôt d’une demande de téléexpertise (DEM)</w:t>
      </w:r>
    </w:p>
    <w:p w14:paraId="1E93E45B" w14:textId="5BA259DD" w:rsidR="004A37E5" w:rsidRDefault="00E77AD0" w:rsidP="007A0996">
      <w:pPr>
        <w:pStyle w:val="Paragraphedeliste"/>
        <w:numPr>
          <w:ilvl w:val="1"/>
          <w:numId w:val="15"/>
        </w:numPr>
        <w:rPr>
          <w:rFonts w:ascii="Calibri" w:eastAsia="Calibri" w:hAnsi="Calibri" w:cs="Calibri"/>
          <w:sz w:val="22"/>
          <w:szCs w:val="22"/>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12864" behindDoc="0" locked="0" layoutInCell="1" allowOverlap="1" wp14:anchorId="35C776E2" wp14:editId="794FF106">
            <wp:simplePos x="0" y="0"/>
            <wp:positionH relativeFrom="column">
              <wp:posOffset>624254</wp:posOffset>
            </wp:positionH>
            <wp:positionV relativeFrom="paragraph">
              <wp:posOffset>182880</wp:posOffset>
            </wp:positionV>
            <wp:extent cx="228600" cy="228600"/>
            <wp:effectExtent l="25400" t="12700" r="76200" b="63500"/>
            <wp:wrapNone/>
            <wp:docPr id="72" name="Graphique 7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05C07">
        <w:rPr>
          <w:rFonts w:ascii="Calibri" w:eastAsia="Calibri" w:hAnsi="Calibri" w:cs="Calibri"/>
          <w:sz w:val="22"/>
          <w:szCs w:val="22"/>
          <w:lang w:val="fr-FR"/>
        </w:rPr>
        <w:t>Le descriptif des fonctions</w:t>
      </w:r>
      <w:r w:rsidR="00C05C07" w:rsidRPr="00C05C07">
        <w:rPr>
          <w:rFonts w:ascii="Calibri" w:eastAsia="Calibri" w:hAnsi="Calibri" w:cs="Calibri"/>
          <w:sz w:val="22"/>
          <w:szCs w:val="22"/>
          <w:lang w:val="fr-FR"/>
        </w:rPr>
        <w:t xml:space="preserve"> est trop « plateforme centré ».</w:t>
      </w:r>
      <w:r w:rsidR="00C05C07">
        <w:rPr>
          <w:rFonts w:ascii="Calibri" w:eastAsia="Calibri" w:hAnsi="Calibri" w:cs="Calibri"/>
          <w:sz w:val="22"/>
          <w:szCs w:val="22"/>
          <w:lang w:val="fr-FR"/>
        </w:rPr>
        <w:t xml:space="preserve"> </w:t>
      </w:r>
      <w:r w:rsidR="00C05C07" w:rsidRPr="00C05C07">
        <w:rPr>
          <w:rFonts w:ascii="Calibri" w:eastAsia="Calibri" w:hAnsi="Calibri" w:cs="Calibri"/>
          <w:sz w:val="22"/>
          <w:szCs w:val="22"/>
          <w:lang w:val="fr-FR"/>
        </w:rPr>
        <w:t xml:space="preserve">La demande de téléexpertise peut en effet être réalisée par le </w:t>
      </w:r>
      <w:r w:rsidR="00C05C07">
        <w:rPr>
          <w:rFonts w:ascii="Calibri" w:eastAsia="Calibri" w:hAnsi="Calibri" w:cs="Calibri"/>
          <w:sz w:val="22"/>
          <w:szCs w:val="22"/>
          <w:lang w:val="fr-FR"/>
        </w:rPr>
        <w:t>PS</w:t>
      </w:r>
      <w:r w:rsidR="00C05C07" w:rsidRPr="00C05C07">
        <w:rPr>
          <w:rFonts w:ascii="Calibri" w:eastAsia="Calibri" w:hAnsi="Calibri" w:cs="Calibri"/>
          <w:sz w:val="22"/>
          <w:szCs w:val="22"/>
          <w:lang w:val="fr-FR"/>
        </w:rPr>
        <w:t xml:space="preserve"> requérant vers un PS requis qu’il connaît et adresse directement</w:t>
      </w:r>
      <w:r w:rsidR="009D553E">
        <w:rPr>
          <w:rFonts w:ascii="Calibri" w:eastAsia="Calibri" w:hAnsi="Calibri" w:cs="Calibri"/>
          <w:sz w:val="22"/>
          <w:szCs w:val="22"/>
          <w:lang w:val="fr-FR"/>
        </w:rPr>
        <w:t>.</w:t>
      </w:r>
      <w:r w:rsidR="00C05C07" w:rsidRPr="00C05C07">
        <w:rPr>
          <w:rFonts w:ascii="Calibri" w:eastAsia="Calibri" w:hAnsi="Calibri" w:cs="Calibri"/>
          <w:sz w:val="22"/>
          <w:szCs w:val="22"/>
          <w:lang w:val="fr-FR"/>
        </w:rPr>
        <w:br/>
      </w:r>
    </w:p>
    <w:p w14:paraId="73A5E3FA" w14:textId="387BD60B" w:rsidR="009D553E" w:rsidRDefault="009D553E" w:rsidP="009D553E">
      <w:pPr>
        <w:ind w:left="720"/>
        <w:rPr>
          <w:rFonts w:ascii="Calibri" w:eastAsia="Calibri" w:hAnsi="Calibri" w:cs="Calibri"/>
          <w:sz w:val="22"/>
          <w:szCs w:val="22"/>
        </w:rPr>
      </w:pPr>
      <w:r>
        <w:rPr>
          <w:rFonts w:ascii="Calibri" w:eastAsia="Calibri" w:hAnsi="Calibri" w:cs="Calibri"/>
          <w:sz w:val="22"/>
          <w:szCs w:val="22"/>
        </w:rPr>
        <w:t>Fonctions de traitement et de conclusion de l’acte de téléconsultation</w:t>
      </w:r>
      <w:r w:rsidR="00BF5F74">
        <w:rPr>
          <w:rFonts w:ascii="Calibri" w:eastAsia="Calibri" w:hAnsi="Calibri" w:cs="Calibri"/>
          <w:sz w:val="22"/>
          <w:szCs w:val="22"/>
        </w:rPr>
        <w:t xml:space="preserve"> (PRI)</w:t>
      </w:r>
    </w:p>
    <w:p w14:paraId="3E27E22F" w14:textId="22ACC658" w:rsidR="009D553E" w:rsidRPr="00F06C8E" w:rsidRDefault="00E77AD0" w:rsidP="009D553E">
      <w:pPr>
        <w:pStyle w:val="Paragraphedeliste"/>
        <w:numPr>
          <w:ilvl w:val="1"/>
          <w:numId w:val="15"/>
        </w:numPr>
        <w:rPr>
          <w:rFonts w:ascii="Calibri" w:eastAsia="Calibri" w:hAnsi="Calibri" w:cs="Calibri"/>
          <w:sz w:val="22"/>
          <w:szCs w:val="22"/>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14912" behindDoc="0" locked="0" layoutInCell="1" allowOverlap="1" wp14:anchorId="071FC3FE" wp14:editId="500AEE8E">
            <wp:simplePos x="0" y="0"/>
            <wp:positionH relativeFrom="column">
              <wp:posOffset>624254</wp:posOffset>
            </wp:positionH>
            <wp:positionV relativeFrom="paragraph">
              <wp:posOffset>182880</wp:posOffset>
            </wp:positionV>
            <wp:extent cx="228600" cy="228600"/>
            <wp:effectExtent l="25400" t="12700" r="76200" b="63500"/>
            <wp:wrapNone/>
            <wp:docPr id="73" name="Graphique 73"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D553E" w:rsidRPr="00F06C8E">
        <w:rPr>
          <w:rFonts w:ascii="Calibri" w:eastAsia="Calibri" w:hAnsi="Calibri" w:cs="Calibri"/>
          <w:sz w:val="22"/>
          <w:szCs w:val="22"/>
          <w:lang w:val="fr-FR"/>
        </w:rPr>
        <w:t>Le descriptif des fonctions ne mentionne pas le cas de figure, pourtant optimal pour supporter les pratiques</w:t>
      </w:r>
      <w:r w:rsidR="00BF5F74">
        <w:rPr>
          <w:rFonts w:ascii="Calibri" w:eastAsia="Calibri" w:hAnsi="Calibri" w:cs="Calibri"/>
          <w:sz w:val="22"/>
          <w:szCs w:val="22"/>
          <w:lang w:val="fr-FR"/>
        </w:rPr>
        <w:t xml:space="preserve"> de télémédecine</w:t>
      </w:r>
      <w:r w:rsidR="009D553E" w:rsidRPr="00F06C8E">
        <w:rPr>
          <w:rFonts w:ascii="Calibri" w:eastAsia="Calibri" w:hAnsi="Calibri" w:cs="Calibri"/>
          <w:sz w:val="22"/>
          <w:szCs w:val="22"/>
          <w:lang w:val="fr-FR"/>
        </w:rPr>
        <w:t xml:space="preserve">, </w:t>
      </w:r>
      <w:r w:rsidR="00BF5F74">
        <w:rPr>
          <w:rFonts w:ascii="Calibri" w:eastAsia="Calibri" w:hAnsi="Calibri" w:cs="Calibri"/>
          <w:sz w:val="22"/>
          <w:szCs w:val="22"/>
          <w:lang w:val="fr-FR"/>
        </w:rPr>
        <w:t xml:space="preserve">relevant d’une </w:t>
      </w:r>
      <w:r w:rsidR="00BF5F74" w:rsidRPr="00F06C8E">
        <w:rPr>
          <w:rFonts w:ascii="Calibri" w:eastAsia="Calibri" w:hAnsi="Calibri" w:cs="Calibri"/>
          <w:sz w:val="22"/>
          <w:szCs w:val="22"/>
          <w:lang w:val="fr-FR"/>
        </w:rPr>
        <w:t>intégration des services avec le logiciels métier du PS</w:t>
      </w:r>
      <w:r w:rsidR="00BF5F74">
        <w:rPr>
          <w:rFonts w:ascii="Calibri" w:eastAsia="Calibri" w:hAnsi="Calibri" w:cs="Calibri"/>
          <w:sz w:val="22"/>
          <w:szCs w:val="22"/>
          <w:lang w:val="fr-FR"/>
        </w:rPr>
        <w:t>.</w:t>
      </w:r>
      <w:r w:rsidR="009D553E" w:rsidRPr="00F06C8E">
        <w:rPr>
          <w:rFonts w:ascii="Calibri" w:eastAsia="Calibri" w:hAnsi="Calibri" w:cs="Calibri"/>
          <w:sz w:val="22"/>
          <w:szCs w:val="22"/>
          <w:lang w:val="fr-FR"/>
        </w:rPr>
        <w:t xml:space="preserve"> Dans ce cas de figure, l’ensemble des fonctions décrites en CCL.1 sont prise en charge le LPS.</w:t>
      </w:r>
    </w:p>
    <w:p w14:paraId="51EA6B4B" w14:textId="77777777" w:rsidR="009D553E" w:rsidRPr="009D553E" w:rsidRDefault="009D553E" w:rsidP="009D553E">
      <w:pPr>
        <w:rPr>
          <w:rFonts w:ascii="Calibri" w:eastAsia="Calibri" w:hAnsi="Calibri" w:cs="Calibri"/>
          <w:sz w:val="22"/>
          <w:szCs w:val="22"/>
        </w:rPr>
      </w:pPr>
    </w:p>
    <w:p w14:paraId="3F6BACD1" w14:textId="77777777" w:rsidR="00A23212" w:rsidRDefault="00A23212" w:rsidP="00BF5F74">
      <w:pPr>
        <w:ind w:left="720"/>
        <w:rPr>
          <w:rFonts w:ascii="Calibri" w:eastAsia="Calibri" w:hAnsi="Calibri" w:cs="Calibri"/>
          <w:sz w:val="22"/>
          <w:szCs w:val="22"/>
        </w:rPr>
      </w:pPr>
    </w:p>
    <w:p w14:paraId="26125C65" w14:textId="77777777" w:rsidR="00A23212" w:rsidRDefault="00A23212" w:rsidP="00BF5F74">
      <w:pPr>
        <w:ind w:left="720"/>
        <w:rPr>
          <w:rFonts w:ascii="Calibri" w:eastAsia="Calibri" w:hAnsi="Calibri" w:cs="Calibri"/>
          <w:sz w:val="22"/>
          <w:szCs w:val="22"/>
        </w:rPr>
      </w:pPr>
    </w:p>
    <w:p w14:paraId="2914F3C7" w14:textId="20D1A778" w:rsidR="00BF5F74" w:rsidRDefault="00BF5F74" w:rsidP="00BF5F74">
      <w:pPr>
        <w:ind w:left="720"/>
        <w:rPr>
          <w:rFonts w:ascii="Calibri" w:eastAsia="Calibri" w:hAnsi="Calibri" w:cs="Calibri"/>
          <w:sz w:val="22"/>
          <w:szCs w:val="22"/>
        </w:rPr>
      </w:pPr>
      <w:r>
        <w:rPr>
          <w:rFonts w:ascii="Calibri" w:eastAsia="Calibri" w:hAnsi="Calibri" w:cs="Calibri"/>
          <w:sz w:val="22"/>
          <w:szCs w:val="22"/>
        </w:rPr>
        <w:t>Fonctions de télétransmission des FSE</w:t>
      </w:r>
    </w:p>
    <w:p w14:paraId="23D8F083" w14:textId="77777777" w:rsidR="00BF5F74" w:rsidRDefault="00BF5F74" w:rsidP="00BF5F74">
      <w:pPr>
        <w:pStyle w:val="Paragraphedeliste"/>
        <w:numPr>
          <w:ilvl w:val="1"/>
          <w:numId w:val="15"/>
        </w:numPr>
        <w:rPr>
          <w:rFonts w:ascii="Calibri" w:eastAsia="Calibri" w:hAnsi="Calibri" w:cs="Calibri"/>
          <w:sz w:val="22"/>
          <w:szCs w:val="22"/>
          <w:lang w:val="fr-FR"/>
        </w:rPr>
      </w:pPr>
      <w:r>
        <w:rPr>
          <w:rFonts w:ascii="Calibri" w:eastAsia="Calibri" w:hAnsi="Calibri" w:cs="Calibri"/>
          <w:sz w:val="22"/>
          <w:szCs w:val="22"/>
          <w:lang w:val="fr-FR"/>
        </w:rPr>
        <w:t>Même remarque que ci-dessus.</w:t>
      </w:r>
    </w:p>
    <w:p w14:paraId="548F958D" w14:textId="77777777" w:rsidR="00BF5F74" w:rsidRPr="007136F8" w:rsidRDefault="00BF5F74" w:rsidP="00BF5F74">
      <w:pPr>
        <w:pStyle w:val="Paragraphedeliste"/>
        <w:numPr>
          <w:ilvl w:val="1"/>
          <w:numId w:val="15"/>
        </w:numPr>
        <w:rPr>
          <w:rFonts w:ascii="Calibri" w:eastAsia="Calibri" w:hAnsi="Calibri" w:cs="Calibri"/>
          <w:sz w:val="22"/>
          <w:szCs w:val="22"/>
          <w:lang w:val="fr-FR"/>
        </w:rPr>
      </w:pPr>
      <w:r>
        <w:rPr>
          <w:rFonts w:ascii="Calibri" w:eastAsia="Calibri" w:hAnsi="Calibri" w:cs="Calibri"/>
          <w:sz w:val="22"/>
          <w:szCs w:val="22"/>
          <w:lang w:val="fr-FR"/>
        </w:rPr>
        <w:t>Il convient par ailleurs d’ajouter le flux DRE vers les organismes complémentaires.</w:t>
      </w:r>
    </w:p>
    <w:p w14:paraId="1F245721" w14:textId="77777777" w:rsidR="00353FDE" w:rsidRDefault="00353FDE" w:rsidP="00914819">
      <w:pPr>
        <w:rPr>
          <w:rFonts w:ascii="Calibri" w:eastAsia="Calibri" w:hAnsi="Calibri" w:cs="Calibri"/>
          <w:sz w:val="22"/>
          <w:szCs w:val="22"/>
        </w:rPr>
      </w:pPr>
    </w:p>
    <w:p w14:paraId="2B6A5DE8" w14:textId="2AA168EC" w:rsidR="00EE0CAD" w:rsidRDefault="00EE0CAD" w:rsidP="00914819">
      <w:pPr>
        <w:rPr>
          <w:rFonts w:ascii="Calibri" w:eastAsia="Calibri" w:hAnsi="Calibri" w:cs="Calibri"/>
          <w:sz w:val="22"/>
          <w:szCs w:val="22"/>
        </w:rPr>
      </w:pPr>
    </w:p>
    <w:p w14:paraId="44705948" w14:textId="251DF03B" w:rsidR="00EE0CAD" w:rsidRDefault="00EE0CAD" w:rsidP="00914819">
      <w:pPr>
        <w:rPr>
          <w:rFonts w:ascii="Calibri" w:eastAsia="Calibri" w:hAnsi="Calibri" w:cs="Calibri"/>
          <w:sz w:val="22"/>
          <w:szCs w:val="22"/>
        </w:rPr>
      </w:pPr>
    </w:p>
    <w:p w14:paraId="0895CF72" w14:textId="23691266" w:rsidR="00EE0CAD" w:rsidRDefault="00EE0CAD" w:rsidP="00914819">
      <w:pPr>
        <w:rPr>
          <w:rFonts w:ascii="Calibri" w:eastAsia="Calibri" w:hAnsi="Calibri" w:cs="Calibri"/>
          <w:sz w:val="22"/>
          <w:szCs w:val="22"/>
        </w:rPr>
      </w:pPr>
    </w:p>
    <w:p w14:paraId="2696A8DC" w14:textId="7CD8C1C8" w:rsidR="00EE0CAD" w:rsidRDefault="00EE0CAD" w:rsidP="00914819">
      <w:pPr>
        <w:rPr>
          <w:rFonts w:ascii="Calibri" w:eastAsia="Calibri" w:hAnsi="Calibri" w:cs="Calibri"/>
          <w:sz w:val="22"/>
          <w:szCs w:val="22"/>
        </w:rPr>
      </w:pPr>
    </w:p>
    <w:p w14:paraId="228F08E6" w14:textId="01D45D27" w:rsidR="00EE0CAD" w:rsidRDefault="00EE0CAD">
      <w:pPr>
        <w:rPr>
          <w:rFonts w:ascii="Calibri" w:eastAsia="Calibri" w:hAnsi="Calibri" w:cs="Calibri"/>
          <w:sz w:val="22"/>
          <w:szCs w:val="22"/>
        </w:rPr>
      </w:pPr>
      <w:r>
        <w:rPr>
          <w:rFonts w:ascii="Calibri" w:eastAsia="Calibri" w:hAnsi="Calibri" w:cs="Calibri"/>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EE0CAD" w:rsidRPr="00245C0F" w14:paraId="130E0E47" w14:textId="77777777" w:rsidTr="00F557C7">
        <w:tc>
          <w:tcPr>
            <w:tcW w:w="9628" w:type="dxa"/>
            <w:shd w:val="clear" w:color="auto" w:fill="0081A2"/>
          </w:tcPr>
          <w:p w14:paraId="499B3E72" w14:textId="77777777" w:rsidR="00EE0CAD" w:rsidRPr="00245C0F" w:rsidRDefault="00EE0CAD" w:rsidP="00F557C7">
            <w:pPr>
              <w:jc w:val="center"/>
              <w:rPr>
                <w:rFonts w:ascii="Raleway" w:hAnsi="Raleway"/>
              </w:rPr>
            </w:pPr>
          </w:p>
          <w:p w14:paraId="63B788F5" w14:textId="5C931E52" w:rsidR="00EE0CAD" w:rsidRPr="00245C0F" w:rsidRDefault="00EE0CAD" w:rsidP="00F557C7">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Système d’évaluation</w:t>
            </w:r>
          </w:p>
        </w:tc>
      </w:tr>
      <w:tr w:rsidR="00EE0CAD" w:rsidRPr="00245C0F" w14:paraId="3056B333" w14:textId="77777777" w:rsidTr="00F557C7">
        <w:tc>
          <w:tcPr>
            <w:tcW w:w="9628" w:type="dxa"/>
            <w:shd w:val="clear" w:color="auto" w:fill="0081A2"/>
          </w:tcPr>
          <w:p w14:paraId="1D466328" w14:textId="77777777" w:rsidR="00EE0CAD" w:rsidRPr="00245C0F" w:rsidRDefault="00EE0CAD" w:rsidP="00F557C7">
            <w:pPr>
              <w:pStyle w:val="Corps"/>
              <w:rPr>
                <w:rFonts w:ascii="Raleway" w:hAnsi="Raleway"/>
              </w:rPr>
            </w:pPr>
          </w:p>
        </w:tc>
      </w:tr>
    </w:tbl>
    <w:p w14:paraId="3E57C0E0" w14:textId="478F399A" w:rsidR="00EE0CAD" w:rsidRDefault="00EE0CAD" w:rsidP="00914819">
      <w:pPr>
        <w:rPr>
          <w:rFonts w:ascii="Calibri" w:eastAsia="Calibri" w:hAnsi="Calibri" w:cs="Calibri"/>
          <w:sz w:val="22"/>
          <w:szCs w:val="22"/>
        </w:rPr>
      </w:pPr>
    </w:p>
    <w:p w14:paraId="5CA195D2" w14:textId="3DFD8111" w:rsidR="00EE0CAD" w:rsidRDefault="00EE0CAD" w:rsidP="00914819">
      <w:pPr>
        <w:rPr>
          <w:rFonts w:ascii="Calibri" w:eastAsia="Calibri" w:hAnsi="Calibri" w:cs="Calibri"/>
          <w:sz w:val="22"/>
          <w:szCs w:val="22"/>
        </w:rPr>
      </w:pPr>
    </w:p>
    <w:p w14:paraId="414D329B" w14:textId="77777777" w:rsidR="00EE0CAD" w:rsidRDefault="00EE0CAD" w:rsidP="00914819">
      <w:pPr>
        <w:rPr>
          <w:rFonts w:ascii="Calibri" w:eastAsia="Calibri" w:hAnsi="Calibri" w:cs="Calibri"/>
          <w:sz w:val="22"/>
          <w:szCs w:val="22"/>
        </w:rPr>
      </w:pPr>
    </w:p>
    <w:p w14:paraId="30E45344" w14:textId="548B2063" w:rsidR="00EE0CAD" w:rsidRPr="00335149" w:rsidRDefault="00335149" w:rsidP="00744E85">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Pr>
          <w:rFonts w:ascii="Calibri" w:eastAsia="Calibri" w:hAnsi="Calibri" w:cs="Calibri"/>
          <w:sz w:val="22"/>
          <w:szCs w:val="22"/>
          <w:u w:val="single"/>
          <w:bdr w:val="none" w:sz="0" w:space="0" w:color="auto"/>
          <w:lang w:val="fr-FR"/>
        </w:rPr>
        <w:t>Mise en place d’un dispositif d</w:t>
      </w:r>
      <w:r w:rsidR="00EE0CAD" w:rsidRPr="00335149">
        <w:rPr>
          <w:rFonts w:ascii="Calibri" w:eastAsia="Calibri" w:hAnsi="Calibri" w:cs="Calibri"/>
          <w:sz w:val="22"/>
          <w:szCs w:val="22"/>
          <w:u w:val="single"/>
          <w:bdr w:val="none" w:sz="0" w:space="0" w:color="auto"/>
          <w:lang w:val="fr-FR"/>
        </w:rPr>
        <w:t xml:space="preserve">e conformité </w:t>
      </w:r>
      <w:r>
        <w:rPr>
          <w:rFonts w:ascii="Calibri" w:eastAsia="Calibri" w:hAnsi="Calibri" w:cs="Calibri"/>
          <w:sz w:val="22"/>
          <w:szCs w:val="22"/>
          <w:u w:val="single"/>
          <w:bdr w:val="none" w:sz="0" w:space="0" w:color="auto"/>
          <w:lang w:val="fr-FR"/>
        </w:rPr>
        <w:t>et de convergence et d’un observatoire de convergence à la doctrine e-santé</w:t>
      </w:r>
    </w:p>
    <w:p w14:paraId="4B2FF361" w14:textId="37E96A2C" w:rsidR="00EE0CAD" w:rsidRDefault="00EE0CAD" w:rsidP="007B3E68">
      <w:pPr>
        <w:ind w:left="720"/>
        <w:rPr>
          <w:rFonts w:ascii="Calibri" w:eastAsia="Calibri" w:hAnsi="Calibri" w:cs="Calibri"/>
          <w:sz w:val="22"/>
          <w:szCs w:val="22"/>
        </w:rPr>
      </w:pPr>
    </w:p>
    <w:p w14:paraId="2343CD31" w14:textId="77777777" w:rsidR="00335149" w:rsidRDefault="00335149" w:rsidP="00335149">
      <w:pPr>
        <w:pStyle w:val="Sansinterligne"/>
        <w:ind w:left="72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 xml:space="preserve">Nous saluons positivement l’initiative portée par l’ANS en faveur de </w:t>
      </w:r>
      <w:r w:rsidRPr="00334D77">
        <w:rPr>
          <w:rFonts w:ascii="Calibri" w:hAnsi="Calibri" w:cs="Calibri"/>
          <w:sz w:val="22"/>
          <w:szCs w:val="22"/>
          <w:bdr w:val="none" w:sz="0" w:space="0" w:color="auto"/>
          <w:lang w:val="fr-FR"/>
        </w:rPr>
        <w:t>la mise en place d’un outillage permettant de mesure</w:t>
      </w:r>
      <w:r>
        <w:rPr>
          <w:rFonts w:ascii="Calibri" w:hAnsi="Calibri" w:cs="Calibri"/>
          <w:sz w:val="22"/>
          <w:szCs w:val="22"/>
          <w:bdr w:val="none" w:sz="0" w:space="0" w:color="auto"/>
          <w:lang w:val="fr-FR"/>
        </w:rPr>
        <w:t>r</w:t>
      </w:r>
      <w:r w:rsidRPr="00334D77">
        <w:rPr>
          <w:rFonts w:ascii="Calibri" w:hAnsi="Calibri" w:cs="Calibri"/>
          <w:sz w:val="22"/>
          <w:szCs w:val="22"/>
          <w:bdr w:val="none" w:sz="0" w:space="0" w:color="auto"/>
          <w:lang w:val="fr-FR"/>
        </w:rPr>
        <w:t xml:space="preserve"> la conformité des </w:t>
      </w:r>
      <w:r>
        <w:rPr>
          <w:rFonts w:ascii="Calibri" w:hAnsi="Calibri" w:cs="Calibri"/>
          <w:sz w:val="22"/>
          <w:szCs w:val="22"/>
          <w:bdr w:val="none" w:sz="0" w:space="0" w:color="auto"/>
          <w:lang w:val="fr-FR"/>
        </w:rPr>
        <w:t>services</w:t>
      </w:r>
      <w:r w:rsidRPr="00334D77">
        <w:rPr>
          <w:rFonts w:ascii="Calibri" w:hAnsi="Calibri" w:cs="Calibri"/>
          <w:sz w:val="22"/>
          <w:szCs w:val="22"/>
          <w:bdr w:val="none" w:sz="0" w:space="0" w:color="auto"/>
          <w:lang w:val="fr-FR"/>
        </w:rPr>
        <w:t xml:space="preserve"> numériques</w:t>
      </w:r>
      <w:r>
        <w:rPr>
          <w:rFonts w:ascii="Calibri" w:hAnsi="Calibri" w:cs="Calibri"/>
          <w:sz w:val="22"/>
          <w:szCs w:val="22"/>
          <w:bdr w:val="none" w:sz="0" w:space="0" w:color="auto"/>
          <w:lang w:val="fr-FR"/>
        </w:rPr>
        <w:t>. Les principes et méthodes issus du cadre commun d’urbanisation de l’état et de l’European Interoperability Framework, tels que déclinés dans leur adaptation au contexte ciblé nous semblent pertinents.</w:t>
      </w:r>
    </w:p>
    <w:p w14:paraId="7B239EA6" w14:textId="77777777" w:rsidR="00335149" w:rsidRDefault="00335149" w:rsidP="00335149">
      <w:pPr>
        <w:pStyle w:val="Sansinterligne"/>
        <w:ind w:left="720"/>
        <w:rPr>
          <w:rFonts w:ascii="Calibri" w:hAnsi="Calibri" w:cs="Calibri"/>
          <w:sz w:val="22"/>
          <w:szCs w:val="22"/>
          <w:bdr w:val="none" w:sz="0" w:space="0" w:color="auto"/>
          <w:lang w:val="fr-FR"/>
        </w:rPr>
      </w:pPr>
    </w:p>
    <w:p w14:paraId="208A3BF2" w14:textId="77777777" w:rsidR="00335149" w:rsidRDefault="00335149" w:rsidP="00335149">
      <w:pPr>
        <w:pStyle w:val="Sansinterligne"/>
        <w:ind w:left="72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Nous souhaitons néanmoins formuler les remarques suivantes.</w:t>
      </w:r>
    </w:p>
    <w:p w14:paraId="722A6D48" w14:textId="77777777" w:rsidR="00335149" w:rsidRDefault="00335149" w:rsidP="00335149">
      <w:pPr>
        <w:pStyle w:val="Sansinterligne"/>
        <w:ind w:left="720"/>
        <w:rPr>
          <w:rFonts w:ascii="Calibri" w:hAnsi="Calibri" w:cs="Calibri"/>
          <w:sz w:val="22"/>
          <w:szCs w:val="22"/>
          <w:bdr w:val="none" w:sz="0" w:space="0" w:color="auto"/>
          <w:lang w:val="fr-FR"/>
        </w:rPr>
      </w:pPr>
    </w:p>
    <w:p w14:paraId="60AF501A" w14:textId="77777777" w:rsidR="00335149" w:rsidRDefault="00335149" w:rsidP="00335149">
      <w:pPr>
        <w:pStyle w:val="Sansinterligne"/>
        <w:ind w:left="72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 xml:space="preserve">Il nous semble essentiel, si l’on souhaite garantir l’adoption effective par les professionnels du secteur des services proposés, d’éviter la dispersion des financements publics et créer des conditions de marché propices au développement vertueux des acteurs économiques, que les évaluations portant sur les indicateurs GS1, GS5, CS1, CS4 et CS5 fassent l’objet de mesures concrètes et dument argumentées. </w:t>
      </w:r>
    </w:p>
    <w:p w14:paraId="40A0D37B" w14:textId="77777777" w:rsidR="00335149" w:rsidRDefault="00335149" w:rsidP="00335149">
      <w:pPr>
        <w:pStyle w:val="Sansinterligne"/>
        <w:ind w:left="72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Les exemples présentés dans l’annexe 1 du document « cadre d’urbanisation sectoriel » ne font état que d’une mesure effective et quantifiée des critères relatifs au CI-SIS ou à la PGSSI-S.</w:t>
      </w:r>
    </w:p>
    <w:p w14:paraId="74DDEDF2" w14:textId="77777777" w:rsidR="00335149" w:rsidRDefault="00335149" w:rsidP="00335149">
      <w:pPr>
        <w:pStyle w:val="Sansinterligne"/>
        <w:ind w:left="72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Ils doivent être complétés afin de répondre à des exigences de mesure quantitative sur l’ensemble des critères et notamment sur les critères mentionnés ci-avant.</w:t>
      </w:r>
    </w:p>
    <w:p w14:paraId="00FE5C12" w14:textId="77777777" w:rsidR="00335149" w:rsidRDefault="00335149" w:rsidP="00335149">
      <w:pPr>
        <w:pStyle w:val="Sansinterligne"/>
        <w:ind w:left="720"/>
        <w:rPr>
          <w:rFonts w:ascii="Calibri" w:hAnsi="Calibri" w:cs="Calibri"/>
          <w:sz w:val="22"/>
          <w:szCs w:val="22"/>
          <w:bdr w:val="none" w:sz="0" w:space="0" w:color="auto"/>
          <w:lang w:val="fr-FR"/>
        </w:rPr>
      </w:pPr>
    </w:p>
    <w:p w14:paraId="391EDB75" w14:textId="77777777" w:rsidR="00335149" w:rsidRDefault="00335149" w:rsidP="00335149">
      <w:pPr>
        <w:pStyle w:val="Sansinterligne"/>
        <w:ind w:left="72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La trajectoire proposée à ce stade identifie un premier périmètre d’application des mesures de conformité portant sur les services socles nationaux, les référentiels nationaux du socle et les services métier proposés via l’ENS et le bouquet de services aux professionnels.</w:t>
      </w:r>
    </w:p>
    <w:p w14:paraId="6FD5E4D4" w14:textId="77777777" w:rsidR="00335149" w:rsidRDefault="00335149" w:rsidP="00335149">
      <w:pPr>
        <w:pStyle w:val="Sansinterligne"/>
        <w:ind w:left="720"/>
        <w:rPr>
          <w:rFonts w:ascii="Calibri" w:hAnsi="Calibri" w:cs="Calibri"/>
          <w:sz w:val="22"/>
          <w:szCs w:val="22"/>
          <w:bdr w:val="none" w:sz="0" w:space="0" w:color="auto"/>
          <w:lang w:val="fr-FR"/>
        </w:rPr>
      </w:pPr>
    </w:p>
    <w:p w14:paraId="7BB88FB3" w14:textId="77777777" w:rsidR="00335149" w:rsidRDefault="00335149" w:rsidP="00335149">
      <w:pPr>
        <w:pStyle w:val="Sansinterligne"/>
        <w:ind w:left="720"/>
        <w:rPr>
          <w:rFonts w:ascii="Calibri" w:hAnsi="Calibri" w:cs="Calibri"/>
          <w:sz w:val="22"/>
          <w:szCs w:val="22"/>
          <w:bdr w:val="none" w:sz="0" w:space="0" w:color="auto"/>
          <w:lang w:val="fr-FR"/>
        </w:rPr>
      </w:pPr>
      <w:r>
        <w:rPr>
          <w:rFonts w:ascii="Calibri" w:eastAsia="Calibri" w:hAnsi="Calibri" w:cs="Calibri"/>
          <w:noProof/>
          <w:sz w:val="22"/>
          <w:szCs w:val="22"/>
          <w:bdr w:val="none" w:sz="0" w:space="0" w:color="auto"/>
          <w:lang w:val="fr-FR" w:eastAsia="fr-FR"/>
        </w:rPr>
        <w:drawing>
          <wp:anchor distT="0" distB="0" distL="114300" distR="114300" simplePos="0" relativeHeight="251844608" behindDoc="0" locked="0" layoutInCell="1" allowOverlap="1" wp14:anchorId="76BCA9CD" wp14:editId="3B453FAA">
            <wp:simplePos x="0" y="0"/>
            <wp:positionH relativeFrom="column">
              <wp:posOffset>195489</wp:posOffset>
            </wp:positionH>
            <wp:positionV relativeFrom="paragraph">
              <wp:posOffset>191135</wp:posOffset>
            </wp:positionV>
            <wp:extent cx="228600" cy="228600"/>
            <wp:effectExtent l="25400" t="12700" r="76200" b="63500"/>
            <wp:wrapNone/>
            <wp:docPr id="27" name="Graphique 2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bdr w:val="none" w:sz="0" w:space="0" w:color="auto"/>
          <w:lang w:val="fr-FR"/>
        </w:rPr>
        <w:t>Les services métier ayant vocation à alimenter le catalogue des services socles, tant au niveau national (ENS, bouquet de services) que régional (e-parcours), et compte tenu des enjeux d’intégration de ces services avec les environnements de travail des professionnels des secteurs hospitalier et ambulatoire, il nous semble indispensable d’associer les représentants des fédérations d’éditeurs au Comité Technique Numérique qui doit être mis en place.</w:t>
      </w:r>
    </w:p>
    <w:p w14:paraId="726DBB70" w14:textId="77777777" w:rsidR="00335149" w:rsidRDefault="00335149" w:rsidP="00335149">
      <w:pPr>
        <w:pStyle w:val="Sansinterligne"/>
        <w:ind w:left="720"/>
        <w:rPr>
          <w:rFonts w:ascii="Calibri" w:hAnsi="Calibri" w:cs="Calibri"/>
          <w:sz w:val="22"/>
          <w:szCs w:val="22"/>
          <w:bdr w:val="none" w:sz="0" w:space="0" w:color="auto"/>
          <w:lang w:val="fr-FR"/>
        </w:rPr>
      </w:pPr>
      <w:r>
        <w:rPr>
          <w:rFonts w:ascii="Calibri" w:hAnsi="Calibri" w:cs="Calibri"/>
          <w:sz w:val="22"/>
          <w:szCs w:val="22"/>
          <w:bdr w:val="none" w:sz="0" w:space="0" w:color="auto"/>
          <w:lang w:val="fr-FR"/>
        </w:rPr>
        <w:t>Une disposition de cette nature serait notamment propice au développement d’un cadre d’échange constructif avec les organisations institutionnelles territoriales et nous permettrait de remédier aux écueils auxquels nous sommes encore trop fréquemment confrontés faute de pouvoir instaurer un dialogue en amont du lancement des projets.</w:t>
      </w:r>
    </w:p>
    <w:p w14:paraId="109AF2A1" w14:textId="464DB34C" w:rsidR="007B3E68" w:rsidRDefault="007B3E68" w:rsidP="007B3E68">
      <w:pPr>
        <w:ind w:left="720"/>
        <w:rPr>
          <w:rFonts w:ascii="Calibri" w:eastAsia="Calibri" w:hAnsi="Calibri" w:cs="Calibri"/>
          <w:sz w:val="22"/>
          <w:szCs w:val="22"/>
        </w:rPr>
      </w:pPr>
    </w:p>
    <w:p w14:paraId="3F7701CF" w14:textId="538D4926" w:rsidR="00EE0CAD" w:rsidRDefault="00EE0CAD" w:rsidP="00914819">
      <w:pPr>
        <w:rPr>
          <w:rFonts w:ascii="Calibri" w:eastAsia="Calibri" w:hAnsi="Calibri" w:cs="Calibri"/>
          <w:sz w:val="22"/>
          <w:szCs w:val="22"/>
        </w:rPr>
      </w:pPr>
    </w:p>
    <w:p w14:paraId="6E3C26AC" w14:textId="474A27DE" w:rsidR="00EE0CAD" w:rsidRPr="00E54440" w:rsidRDefault="00335149" w:rsidP="00744E85">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sidRPr="00E54440">
        <w:rPr>
          <w:rFonts w:ascii="Calibri" w:eastAsia="Calibri" w:hAnsi="Calibri" w:cs="Calibri"/>
          <w:sz w:val="22"/>
          <w:szCs w:val="22"/>
          <w:u w:val="single"/>
          <w:bdr w:val="none" w:sz="0" w:space="0" w:color="auto"/>
          <w:lang w:val="fr-FR"/>
        </w:rPr>
        <w:t>C</w:t>
      </w:r>
      <w:r w:rsidR="00EE0CAD" w:rsidRPr="00E54440">
        <w:rPr>
          <w:rFonts w:ascii="Calibri" w:eastAsia="Calibri" w:hAnsi="Calibri" w:cs="Calibri"/>
          <w:sz w:val="22"/>
          <w:szCs w:val="22"/>
          <w:u w:val="single"/>
          <w:bdr w:val="none" w:sz="0" w:space="0" w:color="auto"/>
          <w:lang w:val="fr-FR"/>
        </w:rPr>
        <w:t>ertification hébergement des données de santé</w:t>
      </w:r>
    </w:p>
    <w:p w14:paraId="3367030B" w14:textId="4DE474D7" w:rsidR="00EE0CAD" w:rsidRDefault="00EE0CAD" w:rsidP="007B3E68">
      <w:pPr>
        <w:ind w:left="720"/>
        <w:rPr>
          <w:rFonts w:ascii="Calibri" w:eastAsia="Calibri" w:hAnsi="Calibri" w:cs="Calibri"/>
          <w:sz w:val="22"/>
          <w:szCs w:val="22"/>
        </w:rPr>
      </w:pPr>
    </w:p>
    <w:p w14:paraId="258B8F7F" w14:textId="47871702" w:rsidR="006C1F9B" w:rsidRDefault="00335149" w:rsidP="006C1F9B">
      <w:pPr>
        <w:ind w:left="720"/>
        <w:rPr>
          <w:rFonts w:ascii="Calibri" w:eastAsia="Calibri" w:hAnsi="Calibri" w:cs="Calibri"/>
          <w:sz w:val="22"/>
          <w:szCs w:val="22"/>
        </w:rPr>
      </w:pPr>
      <w:r>
        <w:rPr>
          <w:rFonts w:ascii="Calibri" w:eastAsia="Calibri" w:hAnsi="Calibri" w:cs="Calibri"/>
          <w:sz w:val="22"/>
          <w:szCs w:val="22"/>
        </w:rPr>
        <w:t>Les membres de la FEIMA concernés par les dispositions relatives à l’encadrement des activités d’hébergement de données de santé à caractère personnel</w:t>
      </w:r>
      <w:r w:rsidR="006C1F9B">
        <w:rPr>
          <w:rFonts w:ascii="Calibri" w:eastAsia="Calibri" w:hAnsi="Calibri" w:cs="Calibri"/>
          <w:sz w:val="22"/>
          <w:szCs w:val="22"/>
        </w:rPr>
        <w:t xml:space="preserve">, soit en qualité d’opérateur de plateformes d’hébergement soit en qualité de fournisseurs de solutions SaaS, </w:t>
      </w:r>
      <w:r>
        <w:rPr>
          <w:rFonts w:ascii="Calibri" w:eastAsia="Calibri" w:hAnsi="Calibri" w:cs="Calibri"/>
          <w:sz w:val="22"/>
          <w:szCs w:val="22"/>
        </w:rPr>
        <w:t xml:space="preserve">sont impliqués depuis plusieurs années dans les processus de concertation ayant débouché sur </w:t>
      </w:r>
      <w:r w:rsidR="006C1F9B">
        <w:rPr>
          <w:rFonts w:ascii="Calibri" w:eastAsia="Calibri" w:hAnsi="Calibri" w:cs="Calibri"/>
          <w:sz w:val="22"/>
          <w:szCs w:val="22"/>
        </w:rPr>
        <w:t>les règles définies dans la PGSSI-S et dans la mise en conformité de leurs solutions et services aux exigences définies.</w:t>
      </w:r>
    </w:p>
    <w:p w14:paraId="661BC52F" w14:textId="5AB2BA89" w:rsidR="006C1F9B" w:rsidRDefault="006C1F9B" w:rsidP="006C1F9B">
      <w:pPr>
        <w:ind w:left="720"/>
        <w:rPr>
          <w:rFonts w:ascii="Calibri" w:hAnsi="Calibri" w:cs="Calibri"/>
          <w:sz w:val="22"/>
          <w:szCs w:val="22"/>
        </w:rPr>
      </w:pPr>
      <w:r>
        <w:rPr>
          <w:rFonts w:ascii="Calibri" w:eastAsia="Calibri" w:hAnsi="Calibri" w:cs="Calibri"/>
          <w:sz w:val="22"/>
          <w:szCs w:val="22"/>
        </w:rPr>
        <w:t xml:space="preserve">Ils sont par ailleurs impliqués dans les travaux menés par le groupe de travail sur </w:t>
      </w:r>
      <w:r>
        <w:rPr>
          <w:rFonts w:ascii="Calibri" w:hAnsi="Calibri" w:cs="Calibri"/>
          <w:sz w:val="22"/>
          <w:szCs w:val="22"/>
        </w:rPr>
        <w:t>l’encadrement de l’activité́ d’administration et d’exploitation des SI de santé.</w:t>
      </w:r>
    </w:p>
    <w:p w14:paraId="65883E4E" w14:textId="36CB2741" w:rsidR="006C1F9B" w:rsidRDefault="006C1F9B" w:rsidP="006C1F9B">
      <w:pPr>
        <w:ind w:left="720"/>
        <w:rPr>
          <w:rFonts w:ascii="Calibri" w:hAnsi="Calibri" w:cs="Calibri"/>
          <w:sz w:val="22"/>
          <w:szCs w:val="22"/>
        </w:rPr>
      </w:pPr>
    </w:p>
    <w:p w14:paraId="2AADB830" w14:textId="1DA577DF" w:rsidR="006C1F9B" w:rsidRPr="00E54440" w:rsidRDefault="004451F0" w:rsidP="006C1F9B">
      <w:pPr>
        <w:ind w:left="720"/>
        <w:rPr>
          <w:rFonts w:ascii="Calibri" w:hAnsi="Calibri" w:cs="Calibri"/>
          <w:sz w:val="22"/>
          <w:szCs w:val="22"/>
        </w:rPr>
      </w:pPr>
      <w:r>
        <w:rPr>
          <w:rFonts w:ascii="Calibri" w:eastAsia="Calibri" w:hAnsi="Calibri" w:cs="Calibri"/>
          <w:noProof/>
          <w:sz w:val="22"/>
          <w:szCs w:val="22"/>
        </w:rPr>
        <w:lastRenderedPageBreak/>
        <w:drawing>
          <wp:anchor distT="0" distB="0" distL="114300" distR="114300" simplePos="0" relativeHeight="251846656" behindDoc="0" locked="0" layoutInCell="1" allowOverlap="1" wp14:anchorId="16DE0EC1" wp14:editId="6EAB778B">
            <wp:simplePos x="0" y="0"/>
            <wp:positionH relativeFrom="column">
              <wp:posOffset>198029</wp:posOffset>
            </wp:positionH>
            <wp:positionV relativeFrom="paragraph">
              <wp:posOffset>180975</wp:posOffset>
            </wp:positionV>
            <wp:extent cx="228600" cy="228600"/>
            <wp:effectExtent l="25400" t="12700" r="76200" b="63500"/>
            <wp:wrapNone/>
            <wp:docPr id="28" name="Graphique 2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54440" w:rsidRPr="00E54440">
        <w:rPr>
          <w:rFonts w:ascii="Calibri" w:hAnsi="Calibri" w:cs="Calibri"/>
          <w:sz w:val="22"/>
          <w:szCs w:val="22"/>
        </w:rPr>
        <w:t>Conscient</w:t>
      </w:r>
      <w:r>
        <w:rPr>
          <w:rFonts w:ascii="Calibri" w:hAnsi="Calibri" w:cs="Calibri"/>
          <w:sz w:val="22"/>
          <w:szCs w:val="22"/>
        </w:rPr>
        <w:t>e</w:t>
      </w:r>
      <w:r w:rsidR="00E54440" w:rsidRPr="00E54440">
        <w:rPr>
          <w:rFonts w:ascii="Calibri" w:hAnsi="Calibri" w:cs="Calibri"/>
          <w:sz w:val="22"/>
          <w:szCs w:val="22"/>
        </w:rPr>
        <w:t xml:space="preserve"> des enjeux </w:t>
      </w:r>
      <w:r w:rsidR="00E54440">
        <w:rPr>
          <w:rFonts w:ascii="Calibri" w:hAnsi="Calibri" w:cs="Calibri"/>
          <w:sz w:val="22"/>
          <w:szCs w:val="22"/>
        </w:rPr>
        <w:t>de l’encadrement de ces activités d’hébergement au regard de</w:t>
      </w:r>
      <w:r>
        <w:rPr>
          <w:rFonts w:ascii="Calibri" w:hAnsi="Calibri" w:cs="Calibri"/>
          <w:sz w:val="22"/>
          <w:szCs w:val="22"/>
        </w:rPr>
        <w:t xml:space="preserve">s risques sécuritaires croissants dans le secteur de la santé, la FEIMA appelle de ses vœux un renforcement des mesures de contrôle par les autorités compétentes. Trop nombreux sont encore les services non conformes aux exigences </w:t>
      </w:r>
      <w:r w:rsidR="00942AC1">
        <w:rPr>
          <w:rFonts w:ascii="Calibri" w:hAnsi="Calibri" w:cs="Calibri"/>
          <w:sz w:val="22"/>
          <w:szCs w:val="22"/>
        </w:rPr>
        <w:t xml:space="preserve">requises, </w:t>
      </w:r>
      <w:r>
        <w:rPr>
          <w:rFonts w:ascii="Calibri" w:hAnsi="Calibri" w:cs="Calibri"/>
          <w:sz w:val="22"/>
          <w:szCs w:val="22"/>
        </w:rPr>
        <w:t xml:space="preserve">sans que </w:t>
      </w:r>
      <w:r w:rsidR="00942AC1">
        <w:rPr>
          <w:rFonts w:ascii="Calibri" w:hAnsi="Calibri" w:cs="Calibri"/>
          <w:sz w:val="22"/>
          <w:szCs w:val="22"/>
        </w:rPr>
        <w:t>l</w:t>
      </w:r>
      <w:r>
        <w:rPr>
          <w:rFonts w:ascii="Calibri" w:hAnsi="Calibri" w:cs="Calibri"/>
          <w:sz w:val="22"/>
          <w:szCs w:val="22"/>
        </w:rPr>
        <w:t xml:space="preserve">es autorités n’aient les moyens d’exercer </w:t>
      </w:r>
      <w:r w:rsidR="00942AC1">
        <w:rPr>
          <w:rFonts w:ascii="Calibri" w:hAnsi="Calibri" w:cs="Calibri"/>
          <w:sz w:val="22"/>
          <w:szCs w:val="22"/>
        </w:rPr>
        <w:t>les contrôles nécessaires à une véritable régulation du marché.</w:t>
      </w:r>
    </w:p>
    <w:p w14:paraId="50634561" w14:textId="77777777" w:rsidR="007B3E68" w:rsidRDefault="007B3E68" w:rsidP="007B3E68">
      <w:pPr>
        <w:ind w:left="720"/>
        <w:rPr>
          <w:rFonts w:ascii="Calibri" w:eastAsia="Calibri" w:hAnsi="Calibri" w:cs="Calibri"/>
          <w:sz w:val="22"/>
          <w:szCs w:val="22"/>
        </w:rPr>
      </w:pPr>
    </w:p>
    <w:p w14:paraId="6A87264A" w14:textId="5DD4D37A" w:rsidR="007B3E68" w:rsidRDefault="007B3E68" w:rsidP="00914819">
      <w:pPr>
        <w:rPr>
          <w:rFonts w:ascii="Calibri" w:eastAsia="Calibri" w:hAnsi="Calibri" w:cs="Calibri"/>
          <w:sz w:val="22"/>
          <w:szCs w:val="22"/>
        </w:rPr>
      </w:pPr>
    </w:p>
    <w:p w14:paraId="771B8F32" w14:textId="72675711" w:rsidR="00EE0CAD" w:rsidRPr="00F1280D" w:rsidRDefault="00EE0CAD" w:rsidP="00744E85">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sidRPr="00F1280D">
        <w:rPr>
          <w:rFonts w:ascii="Calibri" w:eastAsia="Calibri" w:hAnsi="Calibri" w:cs="Calibri"/>
          <w:sz w:val="22"/>
          <w:szCs w:val="22"/>
          <w:u w:val="single"/>
          <w:bdr w:val="none" w:sz="0" w:space="0" w:color="auto"/>
          <w:lang w:val="fr-FR"/>
        </w:rPr>
        <w:t>Certification des SI</w:t>
      </w:r>
    </w:p>
    <w:p w14:paraId="64C6A8FB" w14:textId="1C9FD57B" w:rsidR="00EE0CAD" w:rsidRDefault="00EE0CAD" w:rsidP="007B3E68">
      <w:pPr>
        <w:ind w:left="720"/>
        <w:rPr>
          <w:rFonts w:ascii="Calibri" w:eastAsia="Calibri" w:hAnsi="Calibri" w:cs="Calibri"/>
          <w:sz w:val="22"/>
          <w:szCs w:val="22"/>
        </w:rPr>
      </w:pPr>
    </w:p>
    <w:p w14:paraId="3ACD8C00" w14:textId="40673C5C" w:rsidR="00EB7A23" w:rsidRDefault="00EB7A23" w:rsidP="007B3E68">
      <w:pPr>
        <w:ind w:left="720"/>
        <w:rPr>
          <w:rFonts w:ascii="Calibri" w:eastAsia="Calibri" w:hAnsi="Calibri" w:cs="Calibri"/>
          <w:sz w:val="22"/>
          <w:szCs w:val="22"/>
        </w:rPr>
      </w:pPr>
      <w:r>
        <w:rPr>
          <w:rFonts w:ascii="Calibri" w:eastAsia="Calibri" w:hAnsi="Calibri" w:cs="Calibri"/>
          <w:sz w:val="22"/>
          <w:szCs w:val="22"/>
        </w:rPr>
        <w:t xml:space="preserve">Il est fait état dans le chapitre « certification des SI » de la doctrine technique, de la procédure de certification HAS sur les systèmes d’aide à la prescription </w:t>
      </w:r>
      <w:r w:rsidR="00A60D01">
        <w:rPr>
          <w:rFonts w:ascii="Calibri" w:eastAsia="Calibri" w:hAnsi="Calibri" w:cs="Calibri"/>
          <w:sz w:val="22"/>
          <w:szCs w:val="22"/>
        </w:rPr>
        <w:t xml:space="preserve">(LAP) </w:t>
      </w:r>
      <w:r>
        <w:rPr>
          <w:rFonts w:ascii="Calibri" w:eastAsia="Calibri" w:hAnsi="Calibri" w:cs="Calibri"/>
          <w:sz w:val="22"/>
          <w:szCs w:val="22"/>
        </w:rPr>
        <w:t>et d’aide à la dispensation</w:t>
      </w:r>
      <w:r w:rsidR="00A60D01">
        <w:rPr>
          <w:rFonts w:ascii="Calibri" w:eastAsia="Calibri" w:hAnsi="Calibri" w:cs="Calibri"/>
          <w:sz w:val="22"/>
          <w:szCs w:val="22"/>
        </w:rPr>
        <w:t xml:space="preserve"> (LAD)</w:t>
      </w:r>
      <w:r>
        <w:rPr>
          <w:rFonts w:ascii="Calibri" w:eastAsia="Calibri" w:hAnsi="Calibri" w:cs="Calibri"/>
          <w:sz w:val="22"/>
          <w:szCs w:val="22"/>
        </w:rPr>
        <w:t>.</w:t>
      </w:r>
    </w:p>
    <w:p w14:paraId="1391B39B" w14:textId="57A3F801" w:rsidR="00EB7A23" w:rsidRDefault="00EB7A23" w:rsidP="007B3E68">
      <w:pPr>
        <w:ind w:left="720"/>
        <w:rPr>
          <w:rFonts w:ascii="Calibri" w:eastAsia="Calibri" w:hAnsi="Calibri" w:cs="Calibri"/>
          <w:sz w:val="22"/>
          <w:szCs w:val="22"/>
        </w:rPr>
      </w:pPr>
    </w:p>
    <w:p w14:paraId="1AA2F4AD" w14:textId="796F9657" w:rsidR="00855E36" w:rsidRDefault="00855E36" w:rsidP="00A60D01">
      <w:pPr>
        <w:spacing w:after="240"/>
        <w:ind w:left="720"/>
        <w:rPr>
          <w:rFonts w:ascii="Calibri" w:eastAsia="Calibri" w:hAnsi="Calibri" w:cs="Calibri"/>
          <w:sz w:val="22"/>
          <w:szCs w:val="22"/>
        </w:rPr>
      </w:pPr>
      <w:r>
        <w:rPr>
          <w:rFonts w:ascii="Calibri" w:eastAsia="Calibri" w:hAnsi="Calibri" w:cs="Calibri"/>
          <w:sz w:val="22"/>
          <w:szCs w:val="22"/>
        </w:rPr>
        <w:t>Il</w:t>
      </w:r>
      <w:r w:rsidR="00A60D01">
        <w:rPr>
          <w:rFonts w:ascii="Calibri" w:eastAsia="Calibri" w:hAnsi="Calibri" w:cs="Calibri"/>
          <w:sz w:val="22"/>
          <w:szCs w:val="22"/>
        </w:rPr>
        <w:t xml:space="preserve"> ne fait aucun doute parmi les éditeurs de la FEIMA de la valeur qu’ils attachent à la production de modules d’aide à la décision et d’aide à la dispensation</w:t>
      </w:r>
      <w:r w:rsidR="00B83B1C">
        <w:rPr>
          <w:rFonts w:ascii="Calibri" w:eastAsia="Calibri" w:hAnsi="Calibri" w:cs="Calibri"/>
          <w:sz w:val="22"/>
          <w:szCs w:val="22"/>
        </w:rPr>
        <w:t xml:space="preserve"> conformes aux exigences formulées dans le référentiel de certification de la HA</w:t>
      </w:r>
      <w:r>
        <w:rPr>
          <w:rFonts w:ascii="Calibri" w:eastAsia="Calibri" w:hAnsi="Calibri" w:cs="Calibri"/>
          <w:sz w:val="22"/>
          <w:szCs w:val="22"/>
        </w:rPr>
        <w:t>S. Ce dispositif vertueux dans lequel nous nous étions engagés depuis plusieurs années avec succès est aujourd’hui confronté à des difficultés majeures qui découlent de l’entrée en vigueur du règlement européen portant sur les DM.</w:t>
      </w:r>
    </w:p>
    <w:p w14:paraId="63700C5B" w14:textId="6C6C60A5" w:rsidR="00A60D01" w:rsidRPr="00A60D01" w:rsidRDefault="00A60D01" w:rsidP="00A60D01">
      <w:pPr>
        <w:ind w:left="720"/>
        <w:rPr>
          <w:color w:val="000000"/>
        </w:rPr>
      </w:pPr>
      <w:r w:rsidRPr="00855E36">
        <w:rPr>
          <w:rFonts w:ascii="Calibri" w:hAnsi="Calibri" w:cs="Calibri"/>
          <w:sz w:val="22"/>
          <w:szCs w:val="22"/>
        </w:rPr>
        <w:t>Suite à une action menée par le SNITEM qui ne souhaitait pas que la certification HAS des LAP et des LAD soit imposée à ses membres, la CJUE (cour de justice de l’UE) a requalifié les LAP et LAD en DM, ce qui oblige les éditeurs à satisfaire les exigences du marquage CE et de la certification HAS pour commercialiser leurs produits sur le marché européen.</w:t>
      </w:r>
      <w:r w:rsidR="00855E36" w:rsidRPr="00855E36">
        <w:rPr>
          <w:rFonts w:ascii="Calibri" w:hAnsi="Calibri" w:cs="Calibri"/>
          <w:sz w:val="22"/>
          <w:szCs w:val="22"/>
        </w:rPr>
        <w:t xml:space="preserve"> Position qui a été entérinée par l</w:t>
      </w:r>
      <w:r w:rsidRPr="00855E36">
        <w:rPr>
          <w:rFonts w:ascii="Calibri" w:hAnsi="Calibri" w:cs="Calibri"/>
          <w:sz w:val="22"/>
          <w:szCs w:val="22"/>
        </w:rPr>
        <w:t>e conseil d’état.</w:t>
      </w:r>
    </w:p>
    <w:p w14:paraId="5C96E5DC" w14:textId="7CF619A0" w:rsidR="00A60D01" w:rsidRPr="00855E36" w:rsidRDefault="00A60D01" w:rsidP="00A60D01">
      <w:pPr>
        <w:ind w:left="720"/>
      </w:pPr>
      <w:r w:rsidRPr="00855E36">
        <w:rPr>
          <w:rFonts w:ascii="Calibri" w:hAnsi="Calibri" w:cs="Calibri"/>
          <w:sz w:val="22"/>
          <w:szCs w:val="22"/>
        </w:rPr>
        <w:t>Bien qu’étant saluée par tous (pouvoirs publics et éditeurs de LAP et de LAD) comme tout à fait vertueuse au regard des progrès qu’elle a permis de réaliser en matière d’aide à la prescription, la certification HAS est devenue optionnelle suite à l’avis du conseil d’état.</w:t>
      </w:r>
    </w:p>
    <w:p w14:paraId="739812B7" w14:textId="2D8FFE12" w:rsidR="00855E36" w:rsidRDefault="00A60D01" w:rsidP="00A60D01">
      <w:pPr>
        <w:ind w:left="720"/>
        <w:rPr>
          <w:rFonts w:ascii="Calibri" w:hAnsi="Calibri" w:cs="Calibri"/>
          <w:sz w:val="22"/>
          <w:szCs w:val="22"/>
        </w:rPr>
      </w:pPr>
      <w:r w:rsidRPr="00855E36">
        <w:rPr>
          <w:rFonts w:ascii="Calibri" w:hAnsi="Calibri" w:cs="Calibri"/>
          <w:sz w:val="22"/>
          <w:szCs w:val="22"/>
        </w:rPr>
        <w:t xml:space="preserve">La DSS a </w:t>
      </w:r>
      <w:r w:rsidR="00E77AD0">
        <w:rPr>
          <w:rFonts w:ascii="Calibri" w:hAnsi="Calibri" w:cs="Calibri"/>
          <w:sz w:val="22"/>
          <w:szCs w:val="22"/>
        </w:rPr>
        <w:t>été à l’initiative d’</w:t>
      </w:r>
      <w:r w:rsidRPr="00855E36">
        <w:rPr>
          <w:rFonts w:ascii="Calibri" w:hAnsi="Calibri" w:cs="Calibri"/>
          <w:sz w:val="22"/>
          <w:szCs w:val="22"/>
        </w:rPr>
        <w:t>un article dans la Loi de Santé qui invite les éditeurs à poursuivre leur engagement en faveur du portage de la certification HAS, mais qui introduit une clause de pénalité pouvant aller jusqu’à 10% du CA de l’entreprise</w:t>
      </w:r>
      <w:r w:rsidR="00E77AD0">
        <w:rPr>
          <w:rFonts w:ascii="Calibri" w:hAnsi="Calibri" w:cs="Calibri"/>
          <w:sz w:val="22"/>
          <w:szCs w:val="22"/>
        </w:rPr>
        <w:t>, sur le périmètre d’activité concerné,</w:t>
      </w:r>
      <w:r w:rsidRPr="00855E36">
        <w:rPr>
          <w:rFonts w:ascii="Calibri" w:hAnsi="Calibri" w:cs="Calibri"/>
          <w:sz w:val="22"/>
          <w:szCs w:val="22"/>
        </w:rPr>
        <w:t xml:space="preserve"> pour non-respect des délais de prise en compte des différentes versions du référentiel de certification HAS. </w:t>
      </w:r>
    </w:p>
    <w:p w14:paraId="3D96368C" w14:textId="4BD0A395" w:rsidR="00A60D01" w:rsidRPr="00855E36" w:rsidRDefault="00E77AD0" w:rsidP="00A60D01">
      <w:pPr>
        <w:ind w:left="720"/>
      </w:pPr>
      <w:r>
        <w:rPr>
          <w:rFonts w:ascii="Calibri" w:eastAsia="Calibri" w:hAnsi="Calibri" w:cs="Calibri"/>
          <w:noProof/>
          <w:sz w:val="22"/>
          <w:szCs w:val="22"/>
        </w:rPr>
        <w:drawing>
          <wp:anchor distT="0" distB="0" distL="114300" distR="114300" simplePos="0" relativeHeight="251816960" behindDoc="0" locked="0" layoutInCell="1" allowOverlap="1" wp14:anchorId="53A235FB" wp14:editId="34CDCB34">
            <wp:simplePos x="0" y="0"/>
            <wp:positionH relativeFrom="column">
              <wp:posOffset>167053</wp:posOffset>
            </wp:positionH>
            <wp:positionV relativeFrom="paragraph">
              <wp:posOffset>435952</wp:posOffset>
            </wp:positionV>
            <wp:extent cx="228600" cy="228600"/>
            <wp:effectExtent l="25400" t="12700" r="76200" b="63500"/>
            <wp:wrapNone/>
            <wp:docPr id="74" name="Graphique 7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60D01" w:rsidRPr="00855E36">
        <w:rPr>
          <w:rFonts w:ascii="Calibri" w:hAnsi="Calibri" w:cs="Calibri"/>
          <w:sz w:val="22"/>
          <w:szCs w:val="22"/>
        </w:rPr>
        <w:t>La DSS a par ailleurs publié un nouveau décret de certification HAS des LAP et des LAD</w:t>
      </w:r>
      <w:r w:rsidR="00855E36" w:rsidRPr="00855E36">
        <w:rPr>
          <w:rFonts w:ascii="Calibri" w:hAnsi="Calibri" w:cs="Calibri"/>
          <w:sz w:val="22"/>
          <w:szCs w:val="22"/>
        </w:rPr>
        <w:t>, publié f</w:t>
      </w:r>
      <w:r w:rsidR="00A60D01" w:rsidRPr="00855E36">
        <w:rPr>
          <w:rFonts w:ascii="Calibri" w:hAnsi="Calibri" w:cs="Calibri"/>
          <w:sz w:val="22"/>
          <w:szCs w:val="22"/>
        </w:rPr>
        <w:t>in août au JO.</w:t>
      </w:r>
      <w:r w:rsidR="00A60D01" w:rsidRPr="00855E36">
        <w:rPr>
          <w:rFonts w:ascii="Calibri" w:hAnsi="Calibri" w:cs="Calibri"/>
          <w:sz w:val="22"/>
          <w:szCs w:val="22"/>
        </w:rPr>
        <w:br/>
        <w:t xml:space="preserve">Ce nouveau décret introduit de nouvelles obligations, que </w:t>
      </w:r>
      <w:r w:rsidR="00855E36" w:rsidRPr="00855E36">
        <w:rPr>
          <w:rFonts w:ascii="Calibri" w:hAnsi="Calibri" w:cs="Calibri"/>
          <w:sz w:val="22"/>
          <w:szCs w:val="22"/>
        </w:rPr>
        <w:t>nous</w:t>
      </w:r>
      <w:r w:rsidR="00A60D01" w:rsidRPr="00855E36">
        <w:rPr>
          <w:rFonts w:ascii="Calibri" w:hAnsi="Calibri" w:cs="Calibri"/>
          <w:sz w:val="22"/>
          <w:szCs w:val="22"/>
        </w:rPr>
        <w:t xml:space="preserve"> salu</w:t>
      </w:r>
      <w:r w:rsidR="00855E36" w:rsidRPr="00855E36">
        <w:rPr>
          <w:rFonts w:ascii="Calibri" w:hAnsi="Calibri" w:cs="Calibri"/>
          <w:sz w:val="22"/>
          <w:szCs w:val="22"/>
        </w:rPr>
        <w:t>ons</w:t>
      </w:r>
      <w:r w:rsidR="00A60D01" w:rsidRPr="00855E36">
        <w:rPr>
          <w:rFonts w:ascii="Calibri" w:hAnsi="Calibri" w:cs="Calibri"/>
          <w:sz w:val="22"/>
          <w:szCs w:val="22"/>
        </w:rPr>
        <w:t xml:space="preserve"> car porteuses d’axes de progrès en matière d’outils d’aide à la décision par exemple, mais qui en l’état est tout à fait inapplicable. </w:t>
      </w:r>
      <w:r w:rsidR="00A60D01" w:rsidRPr="00855E36">
        <w:rPr>
          <w:rFonts w:ascii="Calibri" w:hAnsi="Calibri" w:cs="Calibri"/>
          <w:sz w:val="22"/>
          <w:szCs w:val="22"/>
        </w:rPr>
        <w:br/>
        <w:t>Pour exemple : il est fait état d’obligations en matière d’interopérabilité qui ne peuvent être contrôlées par la HAS que sur la base d’essais de type (procédure en vigueur pour la certification), ce qui nécessite de prendre appui sur une plateforme de test/validation</w:t>
      </w:r>
      <w:r w:rsidR="00855E36" w:rsidRPr="00855E36">
        <w:rPr>
          <w:rFonts w:ascii="Calibri" w:hAnsi="Calibri" w:cs="Calibri"/>
          <w:sz w:val="22"/>
          <w:szCs w:val="22"/>
        </w:rPr>
        <w:t>.</w:t>
      </w:r>
      <w:r w:rsidR="00A60D01" w:rsidRPr="00855E36">
        <w:rPr>
          <w:rFonts w:ascii="Calibri" w:hAnsi="Calibri" w:cs="Calibri"/>
          <w:sz w:val="22"/>
          <w:szCs w:val="22"/>
        </w:rPr>
        <w:br/>
        <w:t>Pour entrer en application, ce décret doit prendre appui sur un nouveau référentiel dont la HAS n’a pas écrit la 1</w:t>
      </w:r>
      <w:r w:rsidR="00A60D01" w:rsidRPr="00855E36">
        <w:rPr>
          <w:rFonts w:ascii="Calibri" w:hAnsi="Calibri" w:cs="Calibri"/>
          <w:sz w:val="22"/>
          <w:szCs w:val="22"/>
          <w:vertAlign w:val="superscript"/>
        </w:rPr>
        <w:t>ère</w:t>
      </w:r>
      <w:r w:rsidR="00A60D01" w:rsidRPr="00855E36">
        <w:rPr>
          <w:rFonts w:ascii="Calibri" w:hAnsi="Calibri" w:cs="Calibri"/>
          <w:sz w:val="22"/>
          <w:szCs w:val="22"/>
        </w:rPr>
        <w:t> lign</w:t>
      </w:r>
      <w:r w:rsidR="00855E36">
        <w:rPr>
          <w:rFonts w:ascii="Calibri" w:hAnsi="Calibri" w:cs="Calibri"/>
          <w:sz w:val="22"/>
          <w:szCs w:val="22"/>
        </w:rPr>
        <w:t>e.</w:t>
      </w:r>
    </w:p>
    <w:p w14:paraId="46B75B2C" w14:textId="77777777" w:rsidR="00A60D01" w:rsidRPr="00A60D01" w:rsidRDefault="00A60D01" w:rsidP="00A60D01">
      <w:pPr>
        <w:rPr>
          <w:color w:val="000000"/>
        </w:rPr>
      </w:pPr>
      <w:r w:rsidRPr="00A60D01">
        <w:rPr>
          <w:rFonts w:ascii="Calibri" w:hAnsi="Calibri" w:cs="Calibri"/>
          <w:color w:val="1F497D"/>
          <w:sz w:val="22"/>
          <w:szCs w:val="22"/>
        </w:rPr>
        <w:t> </w:t>
      </w:r>
    </w:p>
    <w:p w14:paraId="03317750" w14:textId="102E842D" w:rsidR="00A60D01" w:rsidRDefault="00855E36" w:rsidP="00A60D01">
      <w:pPr>
        <w:ind w:left="720"/>
        <w:rPr>
          <w:rFonts w:ascii="Calibri" w:hAnsi="Calibri" w:cs="Calibri"/>
          <w:sz w:val="22"/>
          <w:szCs w:val="22"/>
        </w:rPr>
      </w:pPr>
      <w:r w:rsidRPr="00855E36">
        <w:rPr>
          <w:rFonts w:ascii="Calibri" w:hAnsi="Calibri" w:cs="Calibri"/>
          <w:sz w:val="22"/>
          <w:szCs w:val="22"/>
        </w:rPr>
        <w:t>En synthèse</w:t>
      </w:r>
      <w:r w:rsidR="00A60D01" w:rsidRPr="00855E36">
        <w:rPr>
          <w:rFonts w:ascii="Calibri" w:hAnsi="Calibri" w:cs="Calibri"/>
          <w:sz w:val="22"/>
          <w:szCs w:val="22"/>
        </w:rPr>
        <w:t>, ce nouveau contexte a totalement déstabilisé un dispositif qui fonctionnait parfaitement bien et ne demandait, avec notre soutien plein et entier, qu’à aller de l’avant pour porter de nouvelles innovations.</w:t>
      </w:r>
    </w:p>
    <w:p w14:paraId="63917BA0" w14:textId="526E9FE6" w:rsidR="00535E80" w:rsidRPr="00855E36" w:rsidRDefault="00535E80" w:rsidP="00A60D01">
      <w:pPr>
        <w:ind w:left="720"/>
      </w:pPr>
      <w:r>
        <w:rPr>
          <w:rFonts w:ascii="Calibri" w:hAnsi="Calibri" w:cs="Calibri"/>
          <w:sz w:val="22"/>
          <w:szCs w:val="22"/>
        </w:rPr>
        <w:t>Nous sommes d’ores et déjà confrontés à un désistement progressif des éditeurs qui ne renouvellent pas leur certification arrivée à échéance (3 ans), ce qui est le cas à hauteur d’environ 40% chez les éditeurs de LAP hospitaliers, ou qui ont stoppé les travaux de mise en conformité de leur solution avec le référentiel, ce qui est le cas cher les éditeurs de LAP ambulatoires.</w:t>
      </w:r>
    </w:p>
    <w:p w14:paraId="1BBAE0C0" w14:textId="76FC029D" w:rsidR="00A60D01" w:rsidRPr="00855E36" w:rsidRDefault="00A60D01" w:rsidP="00A60D01">
      <w:pPr>
        <w:ind w:left="720"/>
      </w:pPr>
      <w:r w:rsidRPr="00855E36">
        <w:rPr>
          <w:rFonts w:ascii="Calibri" w:hAnsi="Calibri" w:cs="Calibri"/>
          <w:sz w:val="22"/>
          <w:szCs w:val="22"/>
        </w:rPr>
        <w:t xml:space="preserve">Au lieu de s’inscrire dans une démarche vertueuse de progrès, </w:t>
      </w:r>
      <w:r w:rsidR="00535E80">
        <w:rPr>
          <w:rFonts w:ascii="Calibri" w:hAnsi="Calibri" w:cs="Calibri"/>
          <w:sz w:val="22"/>
          <w:szCs w:val="22"/>
        </w:rPr>
        <w:t>ce nouveau contexte va</w:t>
      </w:r>
      <w:r w:rsidRPr="00855E36">
        <w:rPr>
          <w:rFonts w:ascii="Calibri" w:hAnsi="Calibri" w:cs="Calibri"/>
          <w:sz w:val="22"/>
          <w:szCs w:val="22"/>
        </w:rPr>
        <w:t xml:space="preserve"> </w:t>
      </w:r>
      <w:r w:rsidR="00535E80">
        <w:rPr>
          <w:rFonts w:ascii="Calibri" w:hAnsi="Calibri" w:cs="Calibri"/>
          <w:sz w:val="22"/>
          <w:szCs w:val="22"/>
        </w:rPr>
        <w:t xml:space="preserve">de surcroît </w:t>
      </w:r>
      <w:r w:rsidRPr="00855E36">
        <w:rPr>
          <w:rFonts w:ascii="Calibri" w:hAnsi="Calibri" w:cs="Calibri"/>
          <w:sz w:val="22"/>
          <w:szCs w:val="22"/>
        </w:rPr>
        <w:t>contraindre les éditeurs (et potentiellement les acteurs producteurs de solutions faisant appel à des algorithmes d’aide à la décision) à mobiliser une énergie très conséquente pour répondre aux exigences du marquage CE dans des délais très courts (opposabilité au 20/05/2020).</w:t>
      </w:r>
      <w:r w:rsidR="00F06C8E">
        <w:rPr>
          <w:rFonts w:ascii="Calibri" w:hAnsi="Calibri" w:cs="Calibri"/>
          <w:sz w:val="22"/>
          <w:szCs w:val="22"/>
        </w:rPr>
        <w:t xml:space="preserve"> Délais que </w:t>
      </w:r>
      <w:r w:rsidR="00F06C8E">
        <w:rPr>
          <w:rFonts w:ascii="Calibri" w:hAnsi="Calibri" w:cs="Calibri"/>
          <w:sz w:val="22"/>
          <w:szCs w:val="22"/>
        </w:rPr>
        <w:lastRenderedPageBreak/>
        <w:t>nous savons au demeurant comme d’ores et déjà inatteignables compte tenu de la charge à produire et du déficit d’organismes notifiés pour répondre aux sollicitations.</w:t>
      </w:r>
    </w:p>
    <w:p w14:paraId="68B50547" w14:textId="3121A7D4" w:rsidR="007B3E68" w:rsidRDefault="007B3E68" w:rsidP="00914819">
      <w:pPr>
        <w:rPr>
          <w:rFonts w:ascii="Calibri" w:eastAsia="Calibri" w:hAnsi="Calibri" w:cs="Calibri"/>
          <w:sz w:val="22"/>
          <w:szCs w:val="22"/>
        </w:rPr>
      </w:pPr>
    </w:p>
    <w:p w14:paraId="73303CF7" w14:textId="77777777" w:rsidR="00EB7A23" w:rsidRDefault="00EB7A23" w:rsidP="00914819">
      <w:pPr>
        <w:rPr>
          <w:rFonts w:ascii="Calibri" w:eastAsia="Calibri" w:hAnsi="Calibri" w:cs="Calibri"/>
          <w:sz w:val="22"/>
          <w:szCs w:val="22"/>
        </w:rPr>
      </w:pPr>
    </w:p>
    <w:p w14:paraId="5381AD2B" w14:textId="01FD9F6C" w:rsidR="00EE0CAD" w:rsidRPr="00F1280D" w:rsidRDefault="00EE0CAD" w:rsidP="00744E85">
      <w:pPr>
        <w:pStyle w:val="Paragraphedeliste"/>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sz w:val="22"/>
          <w:szCs w:val="22"/>
          <w:u w:val="single"/>
          <w:bdr w:val="none" w:sz="0" w:space="0" w:color="auto"/>
          <w:lang w:val="fr-FR"/>
        </w:rPr>
      </w:pPr>
      <w:r w:rsidRPr="00F1280D">
        <w:rPr>
          <w:rFonts w:ascii="Calibri" w:eastAsia="Calibri" w:hAnsi="Calibri" w:cs="Calibri"/>
          <w:sz w:val="22"/>
          <w:szCs w:val="22"/>
          <w:u w:val="single"/>
          <w:bdr w:val="none" w:sz="0" w:space="0" w:color="auto"/>
          <w:lang w:val="fr-FR"/>
        </w:rPr>
        <w:t>Politique en matière de labellisation</w:t>
      </w:r>
    </w:p>
    <w:p w14:paraId="79D99479" w14:textId="700264AF" w:rsidR="00EE0CAD" w:rsidRDefault="00EE0CAD" w:rsidP="007B3E68">
      <w:pPr>
        <w:ind w:left="720"/>
        <w:rPr>
          <w:rFonts w:ascii="Calibri" w:eastAsia="Calibri" w:hAnsi="Calibri" w:cs="Calibri"/>
          <w:sz w:val="22"/>
          <w:szCs w:val="22"/>
        </w:rPr>
      </w:pPr>
    </w:p>
    <w:p w14:paraId="4BB84CFD" w14:textId="77777777" w:rsidR="00B83B1C" w:rsidRDefault="00B83B1C" w:rsidP="00B83B1C">
      <w:pPr>
        <w:ind w:left="720"/>
        <w:rPr>
          <w:rFonts w:ascii="Calibri" w:eastAsia="Calibri" w:hAnsi="Calibri" w:cs="Calibri"/>
          <w:sz w:val="22"/>
          <w:szCs w:val="22"/>
        </w:rPr>
      </w:pPr>
      <w:r>
        <w:rPr>
          <w:rFonts w:ascii="Calibri" w:eastAsia="Calibri" w:hAnsi="Calibri" w:cs="Calibri"/>
          <w:sz w:val="22"/>
          <w:szCs w:val="22"/>
        </w:rPr>
        <w:t>En attente de publication des éléments de doctrine</w:t>
      </w:r>
    </w:p>
    <w:p w14:paraId="26DD708E" w14:textId="77777777" w:rsidR="007B3E68" w:rsidRDefault="007B3E68" w:rsidP="007B3E68">
      <w:pPr>
        <w:ind w:left="720"/>
        <w:rPr>
          <w:rFonts w:ascii="Calibri" w:eastAsia="Calibri" w:hAnsi="Calibri" w:cs="Calibri"/>
          <w:sz w:val="22"/>
          <w:szCs w:val="22"/>
        </w:rPr>
      </w:pPr>
    </w:p>
    <w:p w14:paraId="0AC48CB3" w14:textId="580DAF4D" w:rsidR="007B3E68" w:rsidRDefault="007B3E68" w:rsidP="00914819">
      <w:pPr>
        <w:rPr>
          <w:rFonts w:ascii="Calibri" w:eastAsia="Calibri" w:hAnsi="Calibri" w:cs="Calibri"/>
          <w:sz w:val="22"/>
          <w:szCs w:val="22"/>
        </w:rPr>
      </w:pPr>
    </w:p>
    <w:p w14:paraId="200B11B7" w14:textId="63B34CCE" w:rsidR="009D6752" w:rsidRDefault="009D6752">
      <w:pPr>
        <w:pBdr>
          <w:top w:val="nil"/>
          <w:left w:val="nil"/>
          <w:bottom w:val="nil"/>
          <w:right w:val="nil"/>
          <w:between w:val="nil"/>
          <w:bar w:val="nil"/>
        </w:pBdr>
        <w:rPr>
          <w:rFonts w:ascii="Calibri" w:eastAsia="Calibri" w:hAnsi="Calibri" w:cs="Calibri"/>
          <w:sz w:val="22"/>
          <w:szCs w:val="22"/>
        </w:rPr>
      </w:pPr>
      <w:r>
        <w:rPr>
          <w:rFonts w:ascii="Calibri" w:eastAsia="Calibri" w:hAnsi="Calibri" w:cs="Calibri"/>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9D6752" w:rsidRPr="00245C0F" w14:paraId="5B486C10" w14:textId="77777777" w:rsidTr="007A0996">
        <w:tc>
          <w:tcPr>
            <w:tcW w:w="9628" w:type="dxa"/>
            <w:shd w:val="clear" w:color="auto" w:fill="0081A2"/>
          </w:tcPr>
          <w:p w14:paraId="2D8DE6DA" w14:textId="77777777" w:rsidR="009D6752" w:rsidRPr="00245C0F" w:rsidRDefault="009D6752" w:rsidP="007A0996">
            <w:pPr>
              <w:jc w:val="center"/>
              <w:rPr>
                <w:rFonts w:ascii="Raleway" w:hAnsi="Raleway"/>
              </w:rPr>
            </w:pPr>
          </w:p>
          <w:p w14:paraId="37DE03E6" w14:textId="654058A5" w:rsidR="009D6752" w:rsidRPr="00245C0F" w:rsidRDefault="009D6752" w:rsidP="007A0996">
            <w:pPr>
              <w:spacing w:line="259" w:lineRule="auto"/>
              <w:jc w:val="center"/>
              <w:rPr>
                <w:rFonts w:ascii="Raleway" w:eastAsia="Raleway" w:hAnsi="Raleway" w:cs="Raleway"/>
                <w:b/>
                <w:bCs/>
                <w:color w:val="FFFFFF" w:themeColor="background1"/>
                <w:sz w:val="30"/>
                <w:szCs w:val="30"/>
              </w:rPr>
            </w:pPr>
            <w:proofErr w:type="spellStart"/>
            <w:r>
              <w:rPr>
                <w:rFonts w:ascii="Raleway" w:eastAsia="Raleway" w:hAnsi="Raleway" w:cs="Raleway"/>
                <w:b/>
                <w:bCs/>
                <w:color w:val="FFFFFF" w:themeColor="background1"/>
                <w:sz w:val="30"/>
                <w:szCs w:val="30"/>
              </w:rPr>
              <w:t>Lab</w:t>
            </w:r>
            <w:proofErr w:type="spellEnd"/>
            <w:r>
              <w:rPr>
                <w:rFonts w:ascii="Raleway" w:eastAsia="Raleway" w:hAnsi="Raleway" w:cs="Raleway"/>
                <w:b/>
                <w:bCs/>
                <w:color w:val="FFFFFF" w:themeColor="background1"/>
                <w:sz w:val="30"/>
                <w:szCs w:val="30"/>
              </w:rPr>
              <w:t xml:space="preserve"> e-Santé</w:t>
            </w:r>
          </w:p>
        </w:tc>
      </w:tr>
      <w:tr w:rsidR="009D6752" w:rsidRPr="00245C0F" w14:paraId="6E9659D1" w14:textId="77777777" w:rsidTr="007A0996">
        <w:tc>
          <w:tcPr>
            <w:tcW w:w="9628" w:type="dxa"/>
            <w:shd w:val="clear" w:color="auto" w:fill="0081A2"/>
          </w:tcPr>
          <w:p w14:paraId="04669608" w14:textId="77777777" w:rsidR="009D6752" w:rsidRPr="00245C0F" w:rsidRDefault="009D6752" w:rsidP="007A0996">
            <w:pPr>
              <w:pStyle w:val="Corps"/>
              <w:rPr>
                <w:rFonts w:ascii="Raleway" w:hAnsi="Raleway"/>
              </w:rPr>
            </w:pPr>
          </w:p>
        </w:tc>
      </w:tr>
    </w:tbl>
    <w:p w14:paraId="709664EF" w14:textId="54AB0674" w:rsidR="009D6752" w:rsidRDefault="009D6752" w:rsidP="00914819">
      <w:pPr>
        <w:rPr>
          <w:rFonts w:ascii="Calibri" w:eastAsia="Calibri" w:hAnsi="Calibri" w:cs="Calibri"/>
          <w:sz w:val="22"/>
          <w:szCs w:val="22"/>
        </w:rPr>
      </w:pPr>
    </w:p>
    <w:p w14:paraId="4023840E" w14:textId="7095B058" w:rsidR="009D6752" w:rsidRDefault="009D6752" w:rsidP="00914819">
      <w:pPr>
        <w:rPr>
          <w:rFonts w:ascii="Calibri" w:eastAsia="Calibri" w:hAnsi="Calibri" w:cs="Calibri"/>
          <w:sz w:val="22"/>
          <w:szCs w:val="22"/>
        </w:rPr>
      </w:pPr>
    </w:p>
    <w:p w14:paraId="399B0A38" w14:textId="0BE3CFB4" w:rsidR="009D6752" w:rsidRDefault="009D6752" w:rsidP="00914819">
      <w:pPr>
        <w:rPr>
          <w:rFonts w:ascii="Calibri" w:eastAsia="Calibri" w:hAnsi="Calibri" w:cs="Calibri"/>
          <w:sz w:val="22"/>
          <w:szCs w:val="22"/>
        </w:rPr>
      </w:pPr>
    </w:p>
    <w:p w14:paraId="3DA3D933" w14:textId="51D044D4" w:rsidR="009D6752" w:rsidRDefault="009D6752">
      <w:pPr>
        <w:pBdr>
          <w:top w:val="nil"/>
          <w:left w:val="nil"/>
          <w:bottom w:val="nil"/>
          <w:right w:val="nil"/>
          <w:between w:val="nil"/>
          <w:bar w:val="nil"/>
        </w:pBdr>
        <w:rPr>
          <w:rFonts w:ascii="Calibri" w:eastAsia="Calibri" w:hAnsi="Calibri" w:cs="Calibri"/>
          <w:sz w:val="22"/>
          <w:szCs w:val="22"/>
        </w:rPr>
      </w:pPr>
      <w:r>
        <w:rPr>
          <w:rFonts w:ascii="Calibri" w:eastAsia="Calibri" w:hAnsi="Calibri" w:cs="Calibri"/>
          <w:sz w:val="22"/>
          <w:szCs w:val="22"/>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1A2"/>
        <w:tblLook w:val="04A0" w:firstRow="1" w:lastRow="0" w:firstColumn="1" w:lastColumn="0" w:noHBand="0" w:noVBand="1"/>
      </w:tblPr>
      <w:tblGrid>
        <w:gridCol w:w="9628"/>
      </w:tblGrid>
      <w:tr w:rsidR="009D6752" w:rsidRPr="00245C0F" w14:paraId="21CFFADB" w14:textId="77777777" w:rsidTr="007A0996">
        <w:tc>
          <w:tcPr>
            <w:tcW w:w="9628" w:type="dxa"/>
            <w:shd w:val="clear" w:color="auto" w:fill="0081A2"/>
          </w:tcPr>
          <w:p w14:paraId="57B828E4" w14:textId="77777777" w:rsidR="009D6752" w:rsidRPr="00245C0F" w:rsidRDefault="009D6752" w:rsidP="007A0996">
            <w:pPr>
              <w:jc w:val="center"/>
              <w:rPr>
                <w:rFonts w:ascii="Raleway" w:hAnsi="Raleway"/>
              </w:rPr>
            </w:pPr>
          </w:p>
          <w:p w14:paraId="4F058519" w14:textId="3B73BFA2" w:rsidR="009D6752" w:rsidRPr="00245C0F" w:rsidRDefault="009D6752" w:rsidP="007A0996">
            <w:pPr>
              <w:spacing w:line="259" w:lineRule="auto"/>
              <w:jc w:val="center"/>
              <w:rPr>
                <w:rFonts w:ascii="Raleway" w:eastAsia="Raleway" w:hAnsi="Raleway" w:cs="Raleway"/>
                <w:b/>
                <w:bCs/>
                <w:color w:val="FFFFFF" w:themeColor="background1"/>
                <w:sz w:val="30"/>
                <w:szCs w:val="30"/>
              </w:rPr>
            </w:pPr>
            <w:r>
              <w:rPr>
                <w:rFonts w:ascii="Raleway" w:eastAsia="Raleway" w:hAnsi="Raleway" w:cs="Raleway"/>
                <w:b/>
                <w:bCs/>
                <w:color w:val="FFFFFF" w:themeColor="background1"/>
                <w:sz w:val="30"/>
                <w:szCs w:val="30"/>
              </w:rPr>
              <w:t>Réseau national de structures 3.0</w:t>
            </w:r>
          </w:p>
        </w:tc>
      </w:tr>
      <w:tr w:rsidR="009D6752" w:rsidRPr="00245C0F" w14:paraId="5F03EE76" w14:textId="77777777" w:rsidTr="007A0996">
        <w:tc>
          <w:tcPr>
            <w:tcW w:w="9628" w:type="dxa"/>
            <w:shd w:val="clear" w:color="auto" w:fill="0081A2"/>
          </w:tcPr>
          <w:p w14:paraId="42D7772E" w14:textId="77777777" w:rsidR="009D6752" w:rsidRPr="00245C0F" w:rsidRDefault="009D6752" w:rsidP="007A0996">
            <w:pPr>
              <w:pStyle w:val="Corps"/>
              <w:rPr>
                <w:rFonts w:ascii="Raleway" w:hAnsi="Raleway"/>
              </w:rPr>
            </w:pPr>
          </w:p>
        </w:tc>
      </w:tr>
    </w:tbl>
    <w:p w14:paraId="3DED67E9" w14:textId="34DFFB09" w:rsidR="009D6752" w:rsidRDefault="009D6752" w:rsidP="00914819">
      <w:pPr>
        <w:rPr>
          <w:rFonts w:ascii="Calibri" w:eastAsia="Calibri" w:hAnsi="Calibri" w:cs="Calibri"/>
          <w:sz w:val="22"/>
          <w:szCs w:val="22"/>
        </w:rPr>
      </w:pPr>
    </w:p>
    <w:p w14:paraId="0FAE5DC4" w14:textId="1382A751" w:rsidR="009D6752" w:rsidRDefault="00F1280D" w:rsidP="00914819">
      <w:pPr>
        <w:rPr>
          <w:rFonts w:ascii="Calibri" w:eastAsia="Calibri" w:hAnsi="Calibri" w:cs="Calibri"/>
          <w:sz w:val="22"/>
          <w:szCs w:val="22"/>
        </w:rPr>
      </w:pPr>
      <w:r>
        <w:rPr>
          <w:rFonts w:ascii="Calibri" w:eastAsia="Calibri" w:hAnsi="Calibri" w:cs="Calibri"/>
          <w:sz w:val="22"/>
          <w:szCs w:val="22"/>
        </w:rPr>
        <w:t xml:space="preserve">Les éditeurs de la FEIMA ont engagé des programmes d’investissement et d’innovation permettant </w:t>
      </w:r>
      <w:r w:rsidR="004826A4">
        <w:rPr>
          <w:rFonts w:ascii="Calibri" w:eastAsia="Calibri" w:hAnsi="Calibri" w:cs="Calibri"/>
          <w:sz w:val="22"/>
          <w:szCs w:val="22"/>
        </w:rPr>
        <w:t>aux acteurs et aux organisations du premier recours de s’inscrire dans une dynamique d’évolution en accord avec les orientations du plan Ma Santé 2022.</w:t>
      </w:r>
      <w:r w:rsidR="003346A7">
        <w:rPr>
          <w:rFonts w:ascii="Calibri" w:eastAsia="Calibri" w:hAnsi="Calibri" w:cs="Calibri"/>
          <w:sz w:val="22"/>
          <w:szCs w:val="22"/>
        </w:rPr>
        <w:t xml:space="preserve"> Pour n’en citer que quelques-uns.</w:t>
      </w:r>
    </w:p>
    <w:p w14:paraId="0ACC2857" w14:textId="77777777" w:rsidR="003346A7" w:rsidRDefault="003346A7" w:rsidP="00914819">
      <w:pPr>
        <w:rPr>
          <w:rFonts w:ascii="Calibri" w:eastAsia="Calibri" w:hAnsi="Calibri" w:cs="Calibri"/>
          <w:sz w:val="22"/>
          <w:szCs w:val="22"/>
        </w:rPr>
      </w:pPr>
    </w:p>
    <w:p w14:paraId="4C61BA38" w14:textId="7E54EF79" w:rsidR="004826A4" w:rsidRPr="001A1142" w:rsidRDefault="009E606B" w:rsidP="001376B7">
      <w:pPr>
        <w:pStyle w:val="Paragraphedeliste"/>
        <w:numPr>
          <w:ilvl w:val="0"/>
          <w:numId w:val="16"/>
        </w:numPr>
        <w:ind w:left="426"/>
        <w:rPr>
          <w:rFonts w:ascii="Calibri" w:eastAsia="Calibri" w:hAnsi="Calibri" w:cs="Calibri"/>
          <w:sz w:val="22"/>
          <w:szCs w:val="22"/>
          <w:lang w:val="fr-FR"/>
        </w:rPr>
      </w:pPr>
      <w:r w:rsidRPr="001A1142">
        <w:rPr>
          <w:rFonts w:ascii="Calibri" w:eastAsia="Calibri" w:hAnsi="Calibri" w:cs="Calibri"/>
          <w:sz w:val="22"/>
          <w:szCs w:val="22"/>
          <w:lang w:val="fr-FR"/>
        </w:rPr>
        <w:t xml:space="preserve">Services </w:t>
      </w:r>
      <w:r w:rsidR="00DC13AC">
        <w:rPr>
          <w:rFonts w:ascii="Calibri" w:eastAsia="Calibri" w:hAnsi="Calibri" w:cs="Calibri"/>
          <w:sz w:val="22"/>
          <w:szCs w:val="22"/>
          <w:lang w:val="fr-FR"/>
        </w:rPr>
        <w:t>de simplification</w:t>
      </w:r>
      <w:r w:rsidRPr="001A1142">
        <w:rPr>
          <w:rFonts w:ascii="Calibri" w:eastAsia="Calibri" w:hAnsi="Calibri" w:cs="Calibri"/>
          <w:sz w:val="22"/>
          <w:szCs w:val="22"/>
          <w:lang w:val="fr-FR"/>
        </w:rPr>
        <w:t xml:space="preserve"> de l’accès aux soins : gestion de rendez-vous en ligne</w:t>
      </w:r>
      <w:r w:rsidR="001A1142" w:rsidRPr="001A1142">
        <w:rPr>
          <w:rFonts w:ascii="Calibri" w:eastAsia="Calibri" w:hAnsi="Calibri" w:cs="Calibri"/>
          <w:sz w:val="22"/>
          <w:szCs w:val="22"/>
          <w:lang w:val="fr-FR"/>
        </w:rPr>
        <w:t xml:space="preserve">, </w:t>
      </w:r>
      <w:r w:rsidRPr="001A1142">
        <w:rPr>
          <w:rFonts w:ascii="Calibri" w:eastAsia="Calibri" w:hAnsi="Calibri" w:cs="Calibri"/>
          <w:sz w:val="22"/>
          <w:szCs w:val="22"/>
          <w:lang w:val="fr-FR"/>
        </w:rPr>
        <w:t>services de télémédecine</w:t>
      </w:r>
      <w:r w:rsidR="001A1142" w:rsidRPr="001A1142">
        <w:rPr>
          <w:rFonts w:ascii="Calibri" w:eastAsia="Calibri" w:hAnsi="Calibri" w:cs="Calibri"/>
          <w:sz w:val="22"/>
          <w:szCs w:val="22"/>
          <w:lang w:val="fr-FR"/>
        </w:rPr>
        <w:t xml:space="preserve">, </w:t>
      </w:r>
      <w:r w:rsidR="00DC13AC">
        <w:rPr>
          <w:rFonts w:ascii="Calibri" w:eastAsia="Calibri" w:hAnsi="Calibri" w:cs="Calibri"/>
          <w:sz w:val="22"/>
          <w:szCs w:val="22"/>
          <w:lang w:val="fr-FR"/>
        </w:rPr>
        <w:t xml:space="preserve">services de gestion du </w:t>
      </w:r>
      <w:r w:rsidR="001A1142" w:rsidRPr="001A1142">
        <w:rPr>
          <w:rFonts w:ascii="Calibri" w:eastAsia="Calibri" w:hAnsi="Calibri" w:cs="Calibri"/>
          <w:sz w:val="22"/>
          <w:szCs w:val="22"/>
          <w:lang w:val="fr-FR"/>
        </w:rPr>
        <w:t>tiers payant intégral</w:t>
      </w:r>
    </w:p>
    <w:p w14:paraId="7FE4F606" w14:textId="2BD43826" w:rsidR="001A1142" w:rsidRPr="003A78D8" w:rsidRDefault="001A1142" w:rsidP="001376B7">
      <w:pPr>
        <w:pStyle w:val="Paragraphedeliste"/>
        <w:numPr>
          <w:ilvl w:val="0"/>
          <w:numId w:val="16"/>
        </w:numPr>
        <w:ind w:left="426"/>
        <w:rPr>
          <w:rFonts w:ascii="Calibri" w:eastAsia="Calibri" w:hAnsi="Calibri" w:cs="Calibri"/>
          <w:sz w:val="22"/>
          <w:szCs w:val="22"/>
          <w:lang w:val="fr-FR"/>
        </w:rPr>
      </w:pPr>
      <w:r w:rsidRPr="003A78D8">
        <w:rPr>
          <w:rFonts w:ascii="Calibri" w:eastAsia="Calibri" w:hAnsi="Calibri" w:cs="Calibri"/>
          <w:sz w:val="22"/>
          <w:szCs w:val="22"/>
          <w:lang w:val="fr-FR"/>
        </w:rPr>
        <w:t>Services d’aide à la décision permettant de supporter des objectifs de développement de la pertinence des soins</w:t>
      </w:r>
    </w:p>
    <w:p w14:paraId="411FA7FF" w14:textId="185752CB" w:rsidR="001A1142" w:rsidRPr="00DC13AC" w:rsidRDefault="001A1142" w:rsidP="001376B7">
      <w:pPr>
        <w:pStyle w:val="Paragraphedeliste"/>
        <w:numPr>
          <w:ilvl w:val="0"/>
          <w:numId w:val="16"/>
        </w:numPr>
        <w:ind w:left="426"/>
        <w:rPr>
          <w:rFonts w:ascii="Calibri" w:eastAsia="Calibri" w:hAnsi="Calibri" w:cs="Calibri"/>
          <w:sz w:val="22"/>
          <w:szCs w:val="22"/>
          <w:lang w:val="fr-FR"/>
        </w:rPr>
      </w:pPr>
      <w:r w:rsidRPr="00DC13AC">
        <w:rPr>
          <w:rFonts w:ascii="Calibri" w:eastAsia="Calibri" w:hAnsi="Calibri" w:cs="Calibri"/>
          <w:sz w:val="22"/>
          <w:szCs w:val="22"/>
          <w:lang w:val="fr-FR"/>
        </w:rPr>
        <w:t>Services de prévention personnalisée</w:t>
      </w:r>
      <w:r w:rsidR="00DC13AC" w:rsidRPr="00DC13AC">
        <w:rPr>
          <w:rFonts w:ascii="Calibri" w:eastAsia="Calibri" w:hAnsi="Calibri" w:cs="Calibri"/>
          <w:sz w:val="22"/>
          <w:szCs w:val="22"/>
          <w:lang w:val="fr-FR"/>
        </w:rPr>
        <w:t xml:space="preserve"> </w:t>
      </w:r>
      <w:r w:rsidR="00DC13AC">
        <w:rPr>
          <w:rFonts w:ascii="Calibri" w:eastAsia="Calibri" w:hAnsi="Calibri" w:cs="Calibri"/>
          <w:sz w:val="22"/>
          <w:szCs w:val="22"/>
          <w:lang w:val="fr-FR"/>
        </w:rPr>
        <w:t>adossés à une démarche et des outils populationnels</w:t>
      </w:r>
    </w:p>
    <w:p w14:paraId="701D298C" w14:textId="43F0DA65" w:rsidR="00EA616D" w:rsidRPr="003A78D8" w:rsidRDefault="001A1142" w:rsidP="001376B7">
      <w:pPr>
        <w:pStyle w:val="Paragraphedeliste"/>
        <w:numPr>
          <w:ilvl w:val="0"/>
          <w:numId w:val="16"/>
        </w:numPr>
        <w:ind w:left="426"/>
        <w:rPr>
          <w:rFonts w:ascii="Calibri" w:eastAsia="Calibri" w:hAnsi="Calibri" w:cs="Calibri"/>
          <w:sz w:val="22"/>
          <w:szCs w:val="22"/>
          <w:lang w:val="fr-FR"/>
        </w:rPr>
      </w:pPr>
      <w:r w:rsidRPr="003A78D8">
        <w:rPr>
          <w:rFonts w:ascii="Calibri" w:eastAsia="Calibri" w:hAnsi="Calibri" w:cs="Calibri"/>
          <w:sz w:val="22"/>
          <w:szCs w:val="22"/>
          <w:lang w:val="fr-FR"/>
        </w:rPr>
        <w:t>Services de simplification de l’exercice professionnels à travers la dématérialisation des procédures administratives (téléservices de l’assurance maladie, e-prescription)</w:t>
      </w:r>
    </w:p>
    <w:p w14:paraId="09F72FA8" w14:textId="063A6297" w:rsidR="001A1142" w:rsidRPr="001A1142" w:rsidRDefault="001A1142" w:rsidP="001376B7">
      <w:pPr>
        <w:pStyle w:val="Paragraphedeliste"/>
        <w:numPr>
          <w:ilvl w:val="0"/>
          <w:numId w:val="16"/>
        </w:numPr>
        <w:ind w:left="426"/>
        <w:rPr>
          <w:rFonts w:ascii="Calibri" w:eastAsia="Calibri" w:hAnsi="Calibri" w:cs="Calibri"/>
          <w:sz w:val="22"/>
          <w:szCs w:val="22"/>
        </w:rPr>
      </w:pPr>
      <w:r w:rsidRPr="001A1142">
        <w:rPr>
          <w:rFonts w:ascii="Calibri" w:eastAsia="Calibri" w:hAnsi="Calibri" w:cs="Calibri"/>
          <w:sz w:val="22"/>
          <w:szCs w:val="22"/>
        </w:rPr>
        <w:t>Services de coordination de parcours</w:t>
      </w:r>
    </w:p>
    <w:p w14:paraId="26D6775B" w14:textId="690FF67B" w:rsidR="00EA616D" w:rsidRDefault="00EA616D" w:rsidP="00914819">
      <w:pPr>
        <w:rPr>
          <w:rFonts w:ascii="Calibri" w:eastAsia="Calibri" w:hAnsi="Calibri" w:cs="Calibri"/>
          <w:sz w:val="22"/>
          <w:szCs w:val="22"/>
        </w:rPr>
      </w:pPr>
    </w:p>
    <w:p w14:paraId="246FCA7D" w14:textId="44294F66" w:rsidR="00DC13AC" w:rsidRDefault="00DC13AC" w:rsidP="00914819">
      <w:pPr>
        <w:rPr>
          <w:rFonts w:ascii="Calibri" w:eastAsia="Calibri" w:hAnsi="Calibri" w:cs="Calibri"/>
          <w:sz w:val="22"/>
          <w:szCs w:val="22"/>
        </w:rPr>
      </w:pPr>
      <w:r>
        <w:rPr>
          <w:rFonts w:ascii="Calibri" w:eastAsia="Calibri" w:hAnsi="Calibri" w:cs="Calibri"/>
          <w:sz w:val="22"/>
          <w:szCs w:val="22"/>
        </w:rPr>
        <w:t>Ces services sont conçus dans une logique d’intégration avec les logiciels métier des professionnels et des organisations de santé</w:t>
      </w:r>
      <w:r w:rsidR="00A87CB7">
        <w:rPr>
          <w:rFonts w:ascii="Calibri" w:eastAsia="Calibri" w:hAnsi="Calibri" w:cs="Calibri"/>
          <w:sz w:val="22"/>
          <w:szCs w:val="22"/>
        </w:rPr>
        <w:t xml:space="preserve"> (MSP, centres de santé, CPTS)</w:t>
      </w:r>
      <w:r>
        <w:rPr>
          <w:rFonts w:ascii="Calibri" w:eastAsia="Calibri" w:hAnsi="Calibri" w:cs="Calibri"/>
          <w:sz w:val="22"/>
          <w:szCs w:val="22"/>
        </w:rPr>
        <w:t xml:space="preserve">. Ils concourent ainsi, d’une part </w:t>
      </w:r>
      <w:r w:rsidR="00AA22DC">
        <w:rPr>
          <w:rFonts w:ascii="Calibri" w:eastAsia="Calibri" w:hAnsi="Calibri" w:cs="Calibri"/>
          <w:sz w:val="22"/>
          <w:szCs w:val="22"/>
        </w:rPr>
        <w:t xml:space="preserve">à l’adhésion des professionnels aux services proposés </w:t>
      </w:r>
      <w:r>
        <w:rPr>
          <w:rFonts w:ascii="Calibri" w:eastAsia="Calibri" w:hAnsi="Calibri" w:cs="Calibri"/>
          <w:sz w:val="22"/>
          <w:szCs w:val="22"/>
        </w:rPr>
        <w:t>et d’autre part au renforcement du lien digital entre patients et professionnels qui assurent leur prise en charge</w:t>
      </w:r>
      <w:r w:rsidR="00AA22DC">
        <w:rPr>
          <w:rFonts w:ascii="Calibri" w:eastAsia="Calibri" w:hAnsi="Calibri" w:cs="Calibri"/>
          <w:sz w:val="22"/>
          <w:szCs w:val="22"/>
        </w:rPr>
        <w:t>.</w:t>
      </w:r>
    </w:p>
    <w:p w14:paraId="29EE14A3" w14:textId="2D9A6F1B" w:rsidR="00AA22DC" w:rsidRDefault="00AA22DC" w:rsidP="00914819">
      <w:pPr>
        <w:rPr>
          <w:rFonts w:ascii="Calibri" w:eastAsia="Calibri" w:hAnsi="Calibri" w:cs="Calibri"/>
          <w:sz w:val="22"/>
          <w:szCs w:val="22"/>
        </w:rPr>
      </w:pPr>
    </w:p>
    <w:p w14:paraId="18A53A00" w14:textId="481DA791" w:rsidR="00AA22DC" w:rsidRDefault="00A87CB7" w:rsidP="00914819">
      <w:pPr>
        <w:rPr>
          <w:rFonts w:ascii="Calibri" w:eastAsia="Calibri" w:hAnsi="Calibri" w:cs="Calibri"/>
          <w:sz w:val="22"/>
          <w:szCs w:val="22"/>
        </w:rPr>
      </w:pPr>
      <w:r>
        <w:rPr>
          <w:rFonts w:ascii="Calibri" w:eastAsia="Calibri" w:hAnsi="Calibri" w:cs="Calibri"/>
          <w:sz w:val="22"/>
          <w:szCs w:val="22"/>
        </w:rPr>
        <w:t xml:space="preserve">La FEIMA s’inscrit par ailleurs </w:t>
      </w:r>
      <w:r w:rsidR="00A05FE0">
        <w:rPr>
          <w:rFonts w:ascii="Calibri" w:eastAsia="Calibri" w:hAnsi="Calibri" w:cs="Calibri"/>
          <w:sz w:val="22"/>
          <w:szCs w:val="22"/>
        </w:rPr>
        <w:t xml:space="preserve">pleinement </w:t>
      </w:r>
      <w:r>
        <w:rPr>
          <w:rFonts w:ascii="Calibri" w:eastAsia="Calibri" w:hAnsi="Calibri" w:cs="Calibri"/>
          <w:sz w:val="22"/>
          <w:szCs w:val="22"/>
        </w:rPr>
        <w:t xml:space="preserve">dans une stratégie d’intégration </w:t>
      </w:r>
      <w:r w:rsidR="00A05FE0">
        <w:rPr>
          <w:rFonts w:ascii="Calibri" w:eastAsia="Calibri" w:hAnsi="Calibri" w:cs="Calibri"/>
          <w:sz w:val="22"/>
          <w:szCs w:val="22"/>
        </w:rPr>
        <w:t>des services proposés par ses membres</w:t>
      </w:r>
      <w:r>
        <w:rPr>
          <w:rFonts w:ascii="Calibri" w:eastAsia="Calibri" w:hAnsi="Calibri" w:cs="Calibri"/>
          <w:sz w:val="22"/>
          <w:szCs w:val="22"/>
        </w:rPr>
        <w:t xml:space="preserve"> avec les plateformes d’état (ENS et Bouquet de services aux professionnels) afin de répondre aux enjeux légitimes de consolidation </w:t>
      </w:r>
      <w:r w:rsidR="00A05FE0">
        <w:rPr>
          <w:rFonts w:ascii="Calibri" w:eastAsia="Calibri" w:hAnsi="Calibri" w:cs="Calibri"/>
          <w:sz w:val="22"/>
          <w:szCs w:val="22"/>
        </w:rPr>
        <w:t xml:space="preserve">des services exposés aux citoyens/patients et aux professionnels. Elle en a déjà fait la démonstration à travers l’intégration </w:t>
      </w:r>
      <w:r w:rsidR="00C5378A">
        <w:rPr>
          <w:rFonts w:ascii="Calibri" w:eastAsia="Calibri" w:hAnsi="Calibri" w:cs="Calibri"/>
          <w:sz w:val="22"/>
          <w:szCs w:val="22"/>
        </w:rPr>
        <w:t>à grande échelle des services proposés par l’Assurance Maladie avec services exposés aux professionnels au sein de leurs environnements de travail quotidien (facturation, téléservices de simplification administrative, indicateurs ROSP, DMP, e-prescription).</w:t>
      </w:r>
    </w:p>
    <w:p w14:paraId="710C2304" w14:textId="79A84BDB" w:rsidR="00A05FE0" w:rsidRDefault="00A05FE0" w:rsidP="00914819">
      <w:pPr>
        <w:rPr>
          <w:rFonts w:ascii="Calibri" w:eastAsia="Calibri" w:hAnsi="Calibri" w:cs="Calibri"/>
          <w:sz w:val="22"/>
          <w:szCs w:val="22"/>
        </w:rPr>
      </w:pPr>
    </w:p>
    <w:p w14:paraId="4873170E" w14:textId="0A7C0F17" w:rsidR="00A05FE0" w:rsidRDefault="00C5378A" w:rsidP="00914819">
      <w:pPr>
        <w:rPr>
          <w:rFonts w:ascii="Calibri" w:eastAsia="Calibri" w:hAnsi="Calibri" w:cs="Calibri"/>
          <w:sz w:val="22"/>
          <w:szCs w:val="22"/>
        </w:rPr>
      </w:pPr>
      <w:r>
        <w:rPr>
          <w:rFonts w:ascii="Calibri" w:eastAsia="Calibri" w:hAnsi="Calibri" w:cs="Calibri"/>
          <w:sz w:val="22"/>
          <w:szCs w:val="22"/>
        </w:rPr>
        <w:t>Plusieurs</w:t>
      </w:r>
      <w:r w:rsidR="00A05FE0">
        <w:rPr>
          <w:rFonts w:ascii="Calibri" w:eastAsia="Calibri" w:hAnsi="Calibri" w:cs="Calibri"/>
          <w:sz w:val="22"/>
          <w:szCs w:val="22"/>
        </w:rPr>
        <w:t xml:space="preserve"> de ces </w:t>
      </w:r>
      <w:r>
        <w:rPr>
          <w:rFonts w:ascii="Calibri" w:eastAsia="Calibri" w:hAnsi="Calibri" w:cs="Calibri"/>
          <w:sz w:val="22"/>
          <w:szCs w:val="22"/>
        </w:rPr>
        <w:t xml:space="preserve">innovations, notamment celles relatives à l’aide à la prévention personnalisée et </w:t>
      </w:r>
      <w:r w:rsidR="00CC5244">
        <w:rPr>
          <w:rFonts w:ascii="Calibri" w:eastAsia="Calibri" w:hAnsi="Calibri" w:cs="Calibri"/>
          <w:sz w:val="22"/>
          <w:szCs w:val="22"/>
        </w:rPr>
        <w:t xml:space="preserve">à </w:t>
      </w:r>
      <w:r>
        <w:rPr>
          <w:rFonts w:ascii="Calibri" w:eastAsia="Calibri" w:hAnsi="Calibri" w:cs="Calibri"/>
          <w:sz w:val="22"/>
          <w:szCs w:val="22"/>
        </w:rPr>
        <w:t xml:space="preserve">l’approche populationnelle, </w:t>
      </w:r>
      <w:r w:rsidR="0036396E">
        <w:rPr>
          <w:rFonts w:ascii="Calibri" w:eastAsia="Calibri" w:hAnsi="Calibri" w:cs="Calibri"/>
          <w:sz w:val="22"/>
          <w:szCs w:val="22"/>
        </w:rPr>
        <w:t xml:space="preserve">celles relatives </w:t>
      </w:r>
      <w:r>
        <w:rPr>
          <w:rFonts w:ascii="Calibri" w:eastAsia="Calibri" w:hAnsi="Calibri" w:cs="Calibri"/>
          <w:sz w:val="22"/>
          <w:szCs w:val="22"/>
        </w:rPr>
        <w:t>à la coordination des parcours</w:t>
      </w:r>
      <w:r w:rsidR="0036396E">
        <w:rPr>
          <w:rFonts w:ascii="Calibri" w:eastAsia="Calibri" w:hAnsi="Calibri" w:cs="Calibri"/>
          <w:sz w:val="22"/>
          <w:szCs w:val="22"/>
        </w:rPr>
        <w:t xml:space="preserve"> ou encore celles portant sur l’accès aux soins</w:t>
      </w:r>
      <w:r w:rsidR="00CC5244">
        <w:rPr>
          <w:rFonts w:ascii="Calibri" w:eastAsia="Calibri" w:hAnsi="Calibri" w:cs="Calibri"/>
          <w:sz w:val="22"/>
          <w:szCs w:val="22"/>
        </w:rPr>
        <w:t>,</w:t>
      </w:r>
      <w:r>
        <w:rPr>
          <w:rFonts w:ascii="Calibri" w:eastAsia="Calibri" w:hAnsi="Calibri" w:cs="Calibri"/>
          <w:sz w:val="22"/>
          <w:szCs w:val="22"/>
        </w:rPr>
        <w:t xml:space="preserve"> sont conçues </w:t>
      </w:r>
      <w:r w:rsidR="00CC5244">
        <w:rPr>
          <w:rFonts w:ascii="Calibri" w:eastAsia="Calibri" w:hAnsi="Calibri" w:cs="Calibri"/>
          <w:sz w:val="22"/>
          <w:szCs w:val="22"/>
        </w:rPr>
        <w:t>et</w:t>
      </w:r>
      <w:r>
        <w:rPr>
          <w:rFonts w:ascii="Calibri" w:eastAsia="Calibri" w:hAnsi="Calibri" w:cs="Calibri"/>
          <w:sz w:val="22"/>
          <w:szCs w:val="22"/>
        </w:rPr>
        <w:t xml:space="preserve"> mises en expérimentation au sein d’organisations pluriprofessionnelles, structures mieux à même de se mobiliser sur </w:t>
      </w:r>
      <w:r w:rsidR="00CC5244">
        <w:rPr>
          <w:rFonts w:ascii="Calibri" w:eastAsia="Calibri" w:hAnsi="Calibri" w:cs="Calibri"/>
          <w:sz w:val="22"/>
          <w:szCs w:val="22"/>
        </w:rPr>
        <w:t>les aspects organisationnels internes et territoriaux et d’évolution de pratiques.</w:t>
      </w:r>
    </w:p>
    <w:p w14:paraId="6C50265C" w14:textId="242832A9" w:rsidR="00CC5244" w:rsidRDefault="0036396E" w:rsidP="00914819">
      <w:pPr>
        <w:rPr>
          <w:rFonts w:ascii="Calibri" w:eastAsia="Calibri" w:hAnsi="Calibri" w:cs="Calibri"/>
          <w:sz w:val="22"/>
          <w:szCs w:val="22"/>
        </w:rPr>
      </w:pPr>
      <w:r>
        <w:rPr>
          <w:rFonts w:ascii="Calibri" w:eastAsia="Calibri" w:hAnsi="Calibri" w:cs="Calibri"/>
          <w:sz w:val="22"/>
          <w:szCs w:val="22"/>
        </w:rPr>
        <w:t>Elles se heurtent néanmoins à des difficultés d’adhésion au regard des logiques de transformation qu’elles nécessitent.</w:t>
      </w:r>
    </w:p>
    <w:p w14:paraId="7E2D6CD1" w14:textId="352C44F4" w:rsidR="00CC5244" w:rsidRDefault="00CC5244" w:rsidP="00914819">
      <w:pPr>
        <w:rPr>
          <w:rFonts w:ascii="Calibri" w:eastAsia="Calibri" w:hAnsi="Calibri" w:cs="Calibri"/>
          <w:sz w:val="22"/>
          <w:szCs w:val="22"/>
        </w:rPr>
      </w:pPr>
    </w:p>
    <w:p w14:paraId="7E5E0A05" w14:textId="2BE9AE6A" w:rsidR="0036396E" w:rsidRDefault="00EE1392" w:rsidP="00914819">
      <w:pPr>
        <w:rPr>
          <w:rFonts w:ascii="Calibri" w:eastAsia="Calibri" w:hAnsi="Calibri" w:cs="Calibri"/>
          <w:sz w:val="22"/>
          <w:szCs w:val="22"/>
        </w:rPr>
      </w:pPr>
      <w:r>
        <w:rPr>
          <w:rFonts w:ascii="Calibri" w:eastAsia="Calibri" w:hAnsi="Calibri" w:cs="Calibri"/>
          <w:sz w:val="22"/>
          <w:szCs w:val="22"/>
        </w:rPr>
        <w:t>Si les dispositifs Article 51 avaient pour objectif de soutenir les nouveaux modèles d’organisation et de financement portés par la stratégie nationale, force est de constater que les dossiers retenus jusqu’alors sont davantage caractérisés par une approche hospitalo-centrée que par une ouverture sur des écosystèmes territoriaux représentatifs de la diversité des acteurs agissant en complémentarité.</w:t>
      </w:r>
    </w:p>
    <w:p w14:paraId="3ED4F3FF" w14:textId="181BE964" w:rsidR="00EE1392" w:rsidRDefault="00EE1392" w:rsidP="00914819">
      <w:pPr>
        <w:rPr>
          <w:rFonts w:ascii="Calibri" w:eastAsia="Calibri" w:hAnsi="Calibri" w:cs="Calibri"/>
          <w:sz w:val="22"/>
          <w:szCs w:val="22"/>
        </w:rPr>
      </w:pPr>
      <w:r>
        <w:rPr>
          <w:rFonts w:ascii="Calibri" w:eastAsia="Calibri" w:hAnsi="Calibri" w:cs="Calibri"/>
          <w:sz w:val="22"/>
          <w:szCs w:val="22"/>
        </w:rPr>
        <w:t>Plusieurs membres de la FEIMA, adossés à des organisations de soins primaires, s’étaient portés candidats à ces expérimentations, sans succès.</w:t>
      </w:r>
    </w:p>
    <w:p w14:paraId="160457A4" w14:textId="3FA2D936" w:rsidR="00EE1392" w:rsidRDefault="00EE1392" w:rsidP="00914819">
      <w:pPr>
        <w:rPr>
          <w:rFonts w:ascii="Calibri" w:eastAsia="Calibri" w:hAnsi="Calibri" w:cs="Calibri"/>
          <w:sz w:val="22"/>
          <w:szCs w:val="22"/>
        </w:rPr>
      </w:pPr>
    </w:p>
    <w:p w14:paraId="001711D6" w14:textId="46C8BD6D" w:rsidR="005B292A" w:rsidRDefault="005B292A" w:rsidP="00914819">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50752" behindDoc="0" locked="0" layoutInCell="1" allowOverlap="1" wp14:anchorId="4802EE04" wp14:editId="6144A298">
            <wp:simplePos x="0" y="0"/>
            <wp:positionH relativeFrom="column">
              <wp:posOffset>-271054</wp:posOffset>
            </wp:positionH>
            <wp:positionV relativeFrom="paragraph">
              <wp:posOffset>182880</wp:posOffset>
            </wp:positionV>
            <wp:extent cx="228600" cy="228600"/>
            <wp:effectExtent l="25400" t="12700" r="76200" b="63500"/>
            <wp:wrapNone/>
            <wp:docPr id="29" name="Graphique 2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zuX7SA.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228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E1392">
        <w:rPr>
          <w:rFonts w:ascii="Calibri" w:eastAsia="Calibri" w:hAnsi="Calibri" w:cs="Calibri"/>
          <w:sz w:val="22"/>
          <w:szCs w:val="22"/>
        </w:rPr>
        <w:t xml:space="preserve">Cette conclusion est d’autant plus regrettable </w:t>
      </w:r>
      <w:r w:rsidR="00AF38BB">
        <w:rPr>
          <w:rFonts w:ascii="Calibri" w:eastAsia="Calibri" w:hAnsi="Calibri" w:cs="Calibri"/>
          <w:sz w:val="22"/>
          <w:szCs w:val="22"/>
        </w:rPr>
        <w:t>qu’elle embolise l</w:t>
      </w:r>
      <w:r w:rsidR="00C36C35">
        <w:rPr>
          <w:rFonts w:ascii="Calibri" w:eastAsia="Calibri" w:hAnsi="Calibri" w:cs="Calibri"/>
          <w:sz w:val="22"/>
          <w:szCs w:val="22"/>
        </w:rPr>
        <w:t xml:space="preserve">a volonté </w:t>
      </w:r>
      <w:r w:rsidR="00AF38BB">
        <w:rPr>
          <w:rFonts w:ascii="Calibri" w:eastAsia="Calibri" w:hAnsi="Calibri" w:cs="Calibri"/>
          <w:sz w:val="22"/>
          <w:szCs w:val="22"/>
        </w:rPr>
        <w:t xml:space="preserve">des organisations de soins primaires </w:t>
      </w:r>
      <w:r w:rsidR="007A1155">
        <w:rPr>
          <w:rFonts w:ascii="Calibri" w:eastAsia="Calibri" w:hAnsi="Calibri" w:cs="Calibri"/>
          <w:sz w:val="22"/>
          <w:szCs w:val="22"/>
        </w:rPr>
        <w:t xml:space="preserve">à s’inscrire dans des projets d’expérimentations et freine les capacités des industriels à placer les innovations qu’ils portent dans des dynamiques de déploiement à grande échelle </w:t>
      </w:r>
      <w:r w:rsidR="00C36C35">
        <w:rPr>
          <w:rFonts w:ascii="Calibri" w:eastAsia="Calibri" w:hAnsi="Calibri" w:cs="Calibri"/>
          <w:sz w:val="22"/>
          <w:szCs w:val="22"/>
        </w:rPr>
        <w:t>soutenues par le symbolisme d’une</w:t>
      </w:r>
      <w:r w:rsidR="007A1155">
        <w:rPr>
          <w:rFonts w:ascii="Calibri" w:eastAsia="Calibri" w:hAnsi="Calibri" w:cs="Calibri"/>
          <w:sz w:val="22"/>
          <w:szCs w:val="22"/>
        </w:rPr>
        <w:t xml:space="preserve"> reconnaissance </w:t>
      </w:r>
      <w:r w:rsidR="00C36C35">
        <w:rPr>
          <w:rFonts w:ascii="Calibri" w:eastAsia="Calibri" w:hAnsi="Calibri" w:cs="Calibri"/>
          <w:sz w:val="22"/>
          <w:szCs w:val="22"/>
        </w:rPr>
        <w:t>officielle</w:t>
      </w:r>
      <w:r w:rsidR="001376B7">
        <w:rPr>
          <w:rFonts w:ascii="Calibri" w:eastAsia="Calibri" w:hAnsi="Calibri" w:cs="Calibri"/>
          <w:sz w:val="22"/>
          <w:szCs w:val="22"/>
        </w:rPr>
        <w:t>.</w:t>
      </w:r>
    </w:p>
    <w:p w14:paraId="7EBF44D2" w14:textId="77777777" w:rsidR="001376B7" w:rsidRDefault="001376B7" w:rsidP="00914819">
      <w:pPr>
        <w:rPr>
          <w:rFonts w:ascii="Calibri" w:eastAsia="Calibri" w:hAnsi="Calibri" w:cs="Calibri"/>
          <w:sz w:val="22"/>
          <w:szCs w:val="22"/>
        </w:rPr>
      </w:pPr>
    </w:p>
    <w:p w14:paraId="0849DD2E" w14:textId="77777777" w:rsidR="001376B7" w:rsidRDefault="001376B7" w:rsidP="00914819">
      <w:pPr>
        <w:rPr>
          <w:rFonts w:ascii="Calibri" w:eastAsia="Calibri" w:hAnsi="Calibri" w:cs="Calibri"/>
          <w:sz w:val="22"/>
          <w:szCs w:val="22"/>
        </w:rPr>
      </w:pPr>
    </w:p>
    <w:p w14:paraId="44CA788D" w14:textId="77777777" w:rsidR="001376B7" w:rsidRDefault="001376B7" w:rsidP="00914819">
      <w:pPr>
        <w:rPr>
          <w:rFonts w:ascii="Calibri" w:eastAsia="Calibri" w:hAnsi="Calibri" w:cs="Calibri"/>
          <w:sz w:val="22"/>
          <w:szCs w:val="22"/>
        </w:rPr>
      </w:pPr>
    </w:p>
    <w:p w14:paraId="6C7AA603" w14:textId="59DEABBF" w:rsidR="001376B7" w:rsidRDefault="008F0046" w:rsidP="001376B7">
      <w:pPr>
        <w:rPr>
          <w:rFonts w:ascii="Calibri" w:eastAsia="Calibri" w:hAnsi="Calibri" w:cs="Calibri"/>
          <w:sz w:val="22"/>
          <w:szCs w:val="22"/>
        </w:rPr>
      </w:pPr>
      <w:r>
        <w:rPr>
          <w:rFonts w:ascii="Calibri" w:eastAsia="Calibri" w:hAnsi="Calibri" w:cs="Calibri"/>
          <w:sz w:val="22"/>
          <w:szCs w:val="22"/>
        </w:rPr>
        <w:lastRenderedPageBreak/>
        <w:t>La FEIMA ne comprendrait pas que de telles erreurs soient reproduites dans l’initiative louable « structures 3.0 » présentée dans la doctrine</w:t>
      </w:r>
      <w:r w:rsidR="001376B7">
        <w:rPr>
          <w:rFonts w:ascii="Calibri" w:eastAsia="Calibri" w:hAnsi="Calibri" w:cs="Calibri"/>
          <w:sz w:val="22"/>
          <w:szCs w:val="22"/>
        </w:rPr>
        <w:t>.</w:t>
      </w:r>
    </w:p>
    <w:p w14:paraId="4E6FA5B6" w14:textId="57E634F0" w:rsidR="001376B7" w:rsidRDefault="003640EF" w:rsidP="001376B7">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852800" behindDoc="0" locked="0" layoutInCell="1" allowOverlap="1" wp14:anchorId="01637867" wp14:editId="44626BEC">
            <wp:simplePos x="0" y="0"/>
            <wp:positionH relativeFrom="column">
              <wp:posOffset>-347345</wp:posOffset>
            </wp:positionH>
            <wp:positionV relativeFrom="paragraph">
              <wp:posOffset>163739</wp:posOffset>
            </wp:positionV>
            <wp:extent cx="348615" cy="348615"/>
            <wp:effectExtent l="0" t="12700" r="32385" b="45085"/>
            <wp:wrapNone/>
            <wp:docPr id="30" name="Graphique 30" descr="Tête avec engren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zIolAQ.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8615" cy="348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3DB0">
        <w:rPr>
          <w:rFonts w:ascii="Calibri" w:eastAsia="Calibri" w:hAnsi="Calibri" w:cs="Calibri"/>
          <w:sz w:val="22"/>
          <w:szCs w:val="22"/>
        </w:rPr>
        <w:t xml:space="preserve">Une participation de membres </w:t>
      </w:r>
      <w:r w:rsidR="004C76FC">
        <w:rPr>
          <w:rFonts w:ascii="Calibri" w:eastAsia="Calibri" w:hAnsi="Calibri" w:cs="Calibri"/>
          <w:sz w:val="22"/>
          <w:szCs w:val="22"/>
        </w:rPr>
        <w:t xml:space="preserve">représentants de la fédération </w:t>
      </w:r>
      <w:r w:rsidR="001E3DB0">
        <w:rPr>
          <w:rFonts w:ascii="Calibri" w:eastAsia="Calibri" w:hAnsi="Calibri" w:cs="Calibri"/>
          <w:sz w:val="22"/>
          <w:szCs w:val="22"/>
        </w:rPr>
        <w:t xml:space="preserve">aux expérimentations </w:t>
      </w:r>
      <w:r w:rsidR="004C76FC">
        <w:rPr>
          <w:rFonts w:ascii="Calibri" w:eastAsia="Calibri" w:hAnsi="Calibri" w:cs="Calibri"/>
          <w:sz w:val="22"/>
          <w:szCs w:val="22"/>
        </w:rPr>
        <w:t>aurait d’autant plus de sens qu’elle permettrait de soutenir des acteurs industriels fortement impliqués dans des innovations au cœur des préoccupations stratégiques.</w:t>
      </w:r>
    </w:p>
    <w:p w14:paraId="0EA7C176" w14:textId="18322C9D" w:rsidR="004C76FC" w:rsidRDefault="004C76FC" w:rsidP="001376B7">
      <w:pPr>
        <w:rPr>
          <w:rFonts w:ascii="Calibri" w:eastAsia="Calibri" w:hAnsi="Calibri" w:cs="Calibri"/>
          <w:sz w:val="22"/>
          <w:szCs w:val="22"/>
        </w:rPr>
      </w:pPr>
      <w:r>
        <w:rPr>
          <w:rFonts w:ascii="Calibri" w:eastAsia="Calibri" w:hAnsi="Calibri" w:cs="Calibri"/>
          <w:sz w:val="22"/>
          <w:szCs w:val="22"/>
        </w:rPr>
        <w:t xml:space="preserve">Elle leur permettrait enfin de concentrer leur énergie sur l’analyse des conditions optimum d’usage des solutions développées, sur l’identification des leviers à activer pour lever les freins </w:t>
      </w:r>
      <w:r w:rsidR="003640EF">
        <w:rPr>
          <w:rFonts w:ascii="Calibri" w:eastAsia="Calibri" w:hAnsi="Calibri" w:cs="Calibri"/>
          <w:sz w:val="22"/>
          <w:szCs w:val="22"/>
        </w:rPr>
        <w:t>à leur adoption et leur donner les moyens d’exprimer les potentialités de déploiement sur les parcs clients de grande échelle dont ils disposent.</w:t>
      </w:r>
    </w:p>
    <w:p w14:paraId="232A4920" w14:textId="66143507" w:rsidR="001376B7" w:rsidRDefault="001376B7" w:rsidP="001376B7">
      <w:pPr>
        <w:rPr>
          <w:rFonts w:ascii="Calibri" w:hAnsi="Calibri"/>
          <w:sz w:val="22"/>
          <w:szCs w:val="22"/>
        </w:rPr>
      </w:pPr>
    </w:p>
    <w:p w14:paraId="7EC56C1D" w14:textId="77777777" w:rsidR="00EA616D" w:rsidRDefault="00EA616D" w:rsidP="00914819">
      <w:pPr>
        <w:rPr>
          <w:rFonts w:ascii="Calibri" w:eastAsia="Calibri" w:hAnsi="Calibri" w:cs="Calibri"/>
          <w:sz w:val="22"/>
          <w:szCs w:val="22"/>
        </w:rPr>
      </w:pPr>
    </w:p>
    <w:p w14:paraId="009EAF22" w14:textId="49F9BD0E" w:rsidR="004826A4" w:rsidRDefault="004826A4" w:rsidP="00914819">
      <w:pPr>
        <w:rPr>
          <w:rFonts w:ascii="Calibri" w:eastAsia="Calibri" w:hAnsi="Calibri" w:cs="Calibri"/>
          <w:sz w:val="22"/>
          <w:szCs w:val="22"/>
        </w:rPr>
      </w:pPr>
    </w:p>
    <w:p w14:paraId="271E4334" w14:textId="77777777" w:rsidR="009D6752" w:rsidRDefault="009D6752" w:rsidP="00914819">
      <w:pPr>
        <w:rPr>
          <w:rFonts w:ascii="Calibri" w:eastAsia="Calibri" w:hAnsi="Calibri" w:cs="Calibri"/>
          <w:sz w:val="22"/>
          <w:szCs w:val="22"/>
        </w:rPr>
      </w:pPr>
    </w:p>
    <w:p w14:paraId="4E95FAFF" w14:textId="6ACAF1AF" w:rsidR="00EE0CAD" w:rsidRDefault="00EE0CAD" w:rsidP="00914819">
      <w:pPr>
        <w:rPr>
          <w:rFonts w:ascii="Calibri" w:eastAsia="Calibri" w:hAnsi="Calibri" w:cs="Calibri"/>
          <w:sz w:val="22"/>
          <w:szCs w:val="22"/>
        </w:rPr>
      </w:pPr>
    </w:p>
    <w:p w14:paraId="06A6B9BE" w14:textId="77777777" w:rsidR="00EE0CAD" w:rsidRDefault="00EE0CAD" w:rsidP="00914819">
      <w:pPr>
        <w:rPr>
          <w:rFonts w:ascii="Calibri" w:eastAsia="Calibri" w:hAnsi="Calibri" w:cs="Calibri"/>
          <w:sz w:val="22"/>
          <w:szCs w:val="22"/>
        </w:rPr>
      </w:pPr>
    </w:p>
    <w:p w14:paraId="4383419B" w14:textId="77777777" w:rsidR="00EE0CAD" w:rsidRDefault="00EE0CAD" w:rsidP="00914819">
      <w:pPr>
        <w:rPr>
          <w:rFonts w:ascii="Calibri" w:eastAsia="Calibri" w:hAnsi="Calibri" w:cs="Calibri"/>
          <w:sz w:val="22"/>
          <w:szCs w:val="22"/>
        </w:rPr>
      </w:pPr>
    </w:p>
    <w:p w14:paraId="65C5A217" w14:textId="41CE1514" w:rsidR="00D50E1C" w:rsidRPr="00006BDB" w:rsidRDefault="00D50E1C" w:rsidP="00006BDB">
      <w:pPr>
        <w:rPr>
          <w:rFonts w:ascii="Calibri" w:eastAsia="Calibri" w:hAnsi="Calibri" w:cs="Calibri"/>
          <w:sz w:val="22"/>
          <w:szCs w:val="22"/>
        </w:rPr>
      </w:pPr>
    </w:p>
    <w:sectPr w:rsidR="00D50E1C" w:rsidRPr="00006BDB">
      <w:footerReference w:type="default" r:id="rId16"/>
      <w:footerReference w:type="firs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964FEC" w14:textId="77777777" w:rsidR="00FD36E0" w:rsidRDefault="00FD36E0">
      <w:r>
        <w:separator/>
      </w:r>
    </w:p>
  </w:endnote>
  <w:endnote w:type="continuationSeparator" w:id="0">
    <w:p w14:paraId="669BDAF6" w14:textId="77777777" w:rsidR="00FD36E0" w:rsidRDefault="00FD3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Raleway">
    <w:altName w:val="Trebuchet MS"/>
    <w:panose1 w:val="020B0604020202020204"/>
    <w:charset w:val="00"/>
    <w:family w:val="swiss"/>
    <w:pitch w:val="variable"/>
    <w:sig w:usb0="A00002FF" w:usb1="5000205B" w:usb2="00000000" w:usb3="00000000" w:csb0="00000097" w:csb1="00000000"/>
  </w:font>
  <w:font w:name="Raleway Medium">
    <w:panose1 w:val="020B0604020202020204"/>
    <w:charset w:val="00"/>
    <w:family w:val="swiss"/>
    <w:pitch w:val="variable"/>
    <w:sig w:usb0="A00002FF" w:usb1="5000205B" w:usb2="00000000" w:usb3="00000000" w:csb0="0000009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267E" w14:textId="0376E4A6" w:rsidR="00801FE8" w:rsidRPr="00F438FE" w:rsidRDefault="00801FE8" w:rsidP="00F438FE">
    <w:pPr>
      <w:pStyle w:val="Pieddepage"/>
      <w:rPr>
        <w:rFonts w:ascii="Calibri" w:hAnsi="Calibri" w:cs="Calibri"/>
        <w:sz w:val="20"/>
        <w:lang w:val="fr-FR"/>
      </w:rPr>
    </w:pPr>
    <w:r>
      <w:rPr>
        <w:rFonts w:ascii="Calibri" w:hAnsi="Calibri" w:cs="Calibri"/>
        <w:sz w:val="20"/>
        <w:lang w:val="fr-FR"/>
      </w:rPr>
      <w:t>DNS – Concertation Doctrine technique du numérique en santé – Note de position FEIMA</w:t>
    </w:r>
    <w:r>
      <w:rPr>
        <w:rFonts w:ascii="Calibri" w:hAnsi="Calibri" w:cs="Calibri"/>
        <w:sz w:val="20"/>
        <w:lang w:val="fr-FR"/>
      </w:rPr>
      <w:tab/>
    </w:r>
    <w:sdt>
      <w:sdtPr>
        <w:rPr>
          <w:rFonts w:ascii="Calibri" w:hAnsi="Calibri" w:cs="Calibri"/>
          <w:sz w:val="20"/>
          <w:lang w:val="fr-FR"/>
        </w:rPr>
        <w:id w:val="-1720501113"/>
        <w:docPartObj>
          <w:docPartGallery w:val="Page Numbers (Bottom of Page)"/>
          <w:docPartUnique/>
        </w:docPartObj>
      </w:sdtPr>
      <w:sdtContent>
        <w:r w:rsidRPr="009B68D2">
          <w:rPr>
            <w:rFonts w:ascii="Calibri" w:hAnsi="Calibri" w:cs="Calibri"/>
            <w:sz w:val="20"/>
            <w:lang w:val="fr-FR"/>
          </w:rPr>
          <w:t xml:space="preserve">Page | </w:t>
        </w:r>
        <w:r w:rsidRPr="009B68D2">
          <w:rPr>
            <w:rFonts w:ascii="Calibri" w:hAnsi="Calibri" w:cs="Calibri"/>
            <w:sz w:val="20"/>
          </w:rPr>
          <w:fldChar w:fldCharType="begin"/>
        </w:r>
        <w:r w:rsidRPr="00F438FE">
          <w:rPr>
            <w:rFonts w:ascii="Calibri" w:hAnsi="Calibri" w:cs="Calibri"/>
            <w:sz w:val="20"/>
            <w:lang w:val="fr-FR"/>
          </w:rPr>
          <w:instrText>PAGE   \* MERGEFORMAT</w:instrText>
        </w:r>
        <w:r w:rsidRPr="009B68D2">
          <w:rPr>
            <w:rFonts w:ascii="Calibri" w:hAnsi="Calibri" w:cs="Calibri"/>
            <w:sz w:val="20"/>
          </w:rPr>
          <w:fldChar w:fldCharType="separate"/>
        </w:r>
        <w:r>
          <w:rPr>
            <w:rFonts w:ascii="Calibri" w:hAnsi="Calibri" w:cs="Calibri"/>
            <w:noProof/>
            <w:sz w:val="20"/>
            <w:lang w:val="fr-FR"/>
          </w:rPr>
          <w:t>17</w:t>
        </w:r>
        <w:r w:rsidRPr="009B68D2">
          <w:rPr>
            <w:rFonts w:ascii="Calibri" w:hAnsi="Calibri" w:cs="Calibri"/>
            <w:sz w:val="20"/>
          </w:rPr>
          <w:fldChar w:fldCharType="end"/>
        </w:r>
        <w:r w:rsidRPr="009B68D2">
          <w:rPr>
            <w:rFonts w:ascii="Calibri" w:hAnsi="Calibri" w:cs="Calibri"/>
            <w:sz w:val="20"/>
            <w:lang w:val="fr-FR"/>
          </w:rPr>
          <w:t xml:space="preserve"> </w:t>
        </w:r>
      </w:sdtContent>
    </w:sdt>
  </w:p>
  <w:p w14:paraId="59AF0593" w14:textId="327C1771" w:rsidR="00801FE8" w:rsidRDefault="00801FE8" w:rsidP="007928A1">
    <w:pPr>
      <w:pStyle w:val="Pieddepage"/>
      <w:jc w:val="center"/>
    </w:pPr>
    <w:r w:rsidRPr="0075649E">
      <w:rPr>
        <w:noProof/>
        <w:lang w:val="fr-FR" w:eastAsia="fr-FR"/>
      </w:rPr>
      <w:drawing>
        <wp:anchor distT="0" distB="0" distL="114300" distR="114300" simplePos="0" relativeHeight="251659264" behindDoc="1" locked="0" layoutInCell="1" allowOverlap="1" wp14:anchorId="5D9C24DD" wp14:editId="4A3F11D2">
          <wp:simplePos x="0" y="0"/>
          <wp:positionH relativeFrom="margin">
            <wp:posOffset>3025775</wp:posOffset>
          </wp:positionH>
          <wp:positionV relativeFrom="paragraph">
            <wp:posOffset>31750</wp:posOffset>
          </wp:positionV>
          <wp:extent cx="542231" cy="542231"/>
          <wp:effectExtent l="0" t="0" r="4445"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6476" cy="54647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00801FE8" w14:paraId="765E5AE1" w14:textId="77777777" w:rsidTr="076A1439">
      <w:tc>
        <w:tcPr>
          <w:tcW w:w="3213" w:type="dxa"/>
        </w:tcPr>
        <w:p w14:paraId="5D35C06F" w14:textId="785732A6" w:rsidR="00801FE8" w:rsidRDefault="00801FE8" w:rsidP="076A1439">
          <w:pPr>
            <w:pStyle w:val="En-tte"/>
            <w:ind w:left="-115"/>
          </w:pPr>
        </w:p>
      </w:tc>
      <w:tc>
        <w:tcPr>
          <w:tcW w:w="3213" w:type="dxa"/>
        </w:tcPr>
        <w:p w14:paraId="2BA4B23D" w14:textId="1F2E08F2" w:rsidR="00801FE8" w:rsidRDefault="00801FE8" w:rsidP="076A1439">
          <w:pPr>
            <w:pStyle w:val="En-tte"/>
            <w:jc w:val="center"/>
          </w:pPr>
        </w:p>
      </w:tc>
      <w:tc>
        <w:tcPr>
          <w:tcW w:w="3213" w:type="dxa"/>
        </w:tcPr>
        <w:p w14:paraId="2B47D63E" w14:textId="6DE6C7D8" w:rsidR="00801FE8" w:rsidRDefault="00801FE8" w:rsidP="076A1439">
          <w:pPr>
            <w:pStyle w:val="En-tte"/>
            <w:ind w:right="-115"/>
            <w:jc w:val="right"/>
          </w:pPr>
        </w:p>
      </w:tc>
    </w:tr>
  </w:tbl>
  <w:p w14:paraId="28F31BD1" w14:textId="69DD10D8" w:rsidR="00801FE8" w:rsidRDefault="00801FE8" w:rsidP="076A14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3C468" w14:textId="77777777" w:rsidR="00FD36E0" w:rsidRDefault="00FD36E0">
      <w:r>
        <w:separator/>
      </w:r>
    </w:p>
  </w:footnote>
  <w:footnote w:type="continuationSeparator" w:id="0">
    <w:p w14:paraId="45C7ED1A" w14:textId="77777777" w:rsidR="00FD36E0" w:rsidRDefault="00FD36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240A5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C94B68"/>
    <w:multiLevelType w:val="multilevel"/>
    <w:tmpl w:val="6A523FF8"/>
    <w:styleLink w:val="List0"/>
    <w:lvl w:ilvl="0">
      <w:numFmt w:val="bullet"/>
      <w:lvlText w:val="•"/>
      <w:lvlJc w:val="left"/>
      <w:pPr>
        <w:tabs>
          <w:tab w:val="num" w:pos="567"/>
        </w:tabs>
        <w:ind w:left="567" w:hanging="283"/>
      </w:pPr>
      <w:rPr>
        <w:rFonts w:ascii="Raleway" w:eastAsia="Raleway" w:hAnsi="Raleway" w:cs="Raleway"/>
        <w:color w:val="E7211D"/>
        <w:position w:val="0"/>
        <w:sz w:val="33"/>
        <w:szCs w:val="33"/>
      </w:rPr>
    </w:lvl>
    <w:lvl w:ilvl="1">
      <w:start w:val="1"/>
      <w:numFmt w:val="bullet"/>
      <w:lvlText w:val="•"/>
      <w:lvlJc w:val="left"/>
      <w:pPr>
        <w:tabs>
          <w:tab w:val="num" w:pos="1134"/>
        </w:tabs>
        <w:ind w:left="850" w:hanging="283"/>
      </w:pPr>
      <w:rPr>
        <w:rFonts w:ascii="Raleway" w:eastAsia="Raleway" w:hAnsi="Raleway" w:cs="Raleway"/>
        <w:color w:val="E7211D"/>
        <w:position w:val="0"/>
        <w:sz w:val="33"/>
        <w:szCs w:val="33"/>
      </w:rPr>
    </w:lvl>
    <w:lvl w:ilvl="2">
      <w:start w:val="6"/>
      <w:numFmt w:val="bullet"/>
      <w:lvlText w:val="-"/>
      <w:lvlJc w:val="left"/>
      <w:pPr>
        <w:tabs>
          <w:tab w:val="num" w:pos="1701"/>
        </w:tabs>
        <w:ind w:left="1134" w:hanging="283"/>
      </w:pPr>
      <w:rPr>
        <w:rFonts w:ascii="Raleway" w:hAnsi="Raleway" w:cs="Raleway Medium" w:hint="default"/>
        <w:color w:val="FF2D21" w:themeColor="accent5"/>
        <w:position w:val="0"/>
        <w:sz w:val="33"/>
        <w:szCs w:val="33"/>
      </w:rPr>
    </w:lvl>
    <w:lvl w:ilvl="3">
      <w:start w:val="1"/>
      <w:numFmt w:val="bullet"/>
      <w:lvlText w:val="•"/>
      <w:lvlJc w:val="left"/>
      <w:pPr>
        <w:tabs>
          <w:tab w:val="num" w:pos="2268"/>
        </w:tabs>
        <w:ind w:left="1417" w:hanging="283"/>
      </w:pPr>
      <w:rPr>
        <w:rFonts w:ascii="Raleway" w:eastAsia="Raleway" w:hAnsi="Raleway" w:cs="Raleway"/>
        <w:color w:val="E7211D"/>
        <w:position w:val="0"/>
        <w:sz w:val="33"/>
        <w:szCs w:val="33"/>
      </w:rPr>
    </w:lvl>
    <w:lvl w:ilvl="4">
      <w:start w:val="1"/>
      <w:numFmt w:val="bullet"/>
      <w:lvlText w:val="•"/>
      <w:lvlJc w:val="left"/>
      <w:pPr>
        <w:tabs>
          <w:tab w:val="num" w:pos="2835"/>
        </w:tabs>
        <w:ind w:left="1701" w:hanging="283"/>
      </w:pPr>
      <w:rPr>
        <w:rFonts w:ascii="Raleway" w:eastAsia="Raleway" w:hAnsi="Raleway" w:cs="Raleway"/>
        <w:color w:val="E7211D"/>
        <w:position w:val="0"/>
        <w:sz w:val="33"/>
        <w:szCs w:val="33"/>
      </w:rPr>
    </w:lvl>
    <w:lvl w:ilvl="5">
      <w:start w:val="1"/>
      <w:numFmt w:val="bullet"/>
      <w:lvlText w:val="•"/>
      <w:lvlJc w:val="left"/>
      <w:pPr>
        <w:tabs>
          <w:tab w:val="num" w:pos="3402"/>
        </w:tabs>
        <w:ind w:left="1984" w:hanging="283"/>
      </w:pPr>
      <w:rPr>
        <w:rFonts w:ascii="Raleway" w:eastAsia="Raleway" w:hAnsi="Raleway" w:cs="Raleway"/>
        <w:color w:val="E7211D"/>
        <w:position w:val="0"/>
        <w:sz w:val="33"/>
        <w:szCs w:val="33"/>
      </w:rPr>
    </w:lvl>
    <w:lvl w:ilvl="6">
      <w:start w:val="1"/>
      <w:numFmt w:val="bullet"/>
      <w:lvlText w:val="•"/>
      <w:lvlJc w:val="left"/>
      <w:pPr>
        <w:tabs>
          <w:tab w:val="num" w:pos="3969"/>
        </w:tabs>
        <w:ind w:left="2268" w:hanging="283"/>
      </w:pPr>
      <w:rPr>
        <w:rFonts w:ascii="Raleway" w:eastAsia="Raleway" w:hAnsi="Raleway" w:cs="Raleway"/>
        <w:color w:val="E7211D"/>
        <w:position w:val="0"/>
        <w:sz w:val="33"/>
        <w:szCs w:val="33"/>
      </w:rPr>
    </w:lvl>
    <w:lvl w:ilvl="7">
      <w:start w:val="1"/>
      <w:numFmt w:val="bullet"/>
      <w:lvlText w:val="•"/>
      <w:lvlJc w:val="left"/>
      <w:pPr>
        <w:tabs>
          <w:tab w:val="num" w:pos="4535"/>
        </w:tabs>
        <w:ind w:left="2551" w:hanging="283"/>
      </w:pPr>
      <w:rPr>
        <w:rFonts w:ascii="Raleway" w:eastAsia="Raleway" w:hAnsi="Raleway" w:cs="Raleway"/>
        <w:color w:val="E7211D"/>
        <w:position w:val="0"/>
        <w:sz w:val="33"/>
        <w:szCs w:val="33"/>
      </w:rPr>
    </w:lvl>
    <w:lvl w:ilvl="8">
      <w:start w:val="1"/>
      <w:numFmt w:val="bullet"/>
      <w:lvlText w:val="•"/>
      <w:lvlJc w:val="left"/>
      <w:pPr>
        <w:tabs>
          <w:tab w:val="num" w:pos="5102"/>
        </w:tabs>
        <w:ind w:left="2835" w:hanging="283"/>
      </w:pPr>
      <w:rPr>
        <w:rFonts w:ascii="Raleway" w:eastAsia="Raleway" w:hAnsi="Raleway" w:cs="Raleway"/>
        <w:color w:val="E7211D"/>
        <w:position w:val="0"/>
        <w:sz w:val="33"/>
        <w:szCs w:val="33"/>
      </w:rPr>
    </w:lvl>
  </w:abstractNum>
  <w:abstractNum w:abstractNumId="2" w15:restartNumberingAfterBreak="0">
    <w:nsid w:val="04777472"/>
    <w:multiLevelType w:val="hybridMultilevel"/>
    <w:tmpl w:val="10A4C8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C62F6D"/>
    <w:multiLevelType w:val="hybridMultilevel"/>
    <w:tmpl w:val="4CE45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402044"/>
    <w:multiLevelType w:val="hybridMultilevel"/>
    <w:tmpl w:val="CF7EAB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8887961"/>
    <w:multiLevelType w:val="hybridMultilevel"/>
    <w:tmpl w:val="029C54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4314A7"/>
    <w:multiLevelType w:val="multilevel"/>
    <w:tmpl w:val="E1C60634"/>
    <w:styleLink w:val="Liste31"/>
    <w:lvl w:ilvl="0">
      <w:numFmt w:val="bullet"/>
      <w:lvlText w:val="•"/>
      <w:lvlJc w:val="left"/>
      <w:rPr>
        <w:b/>
        <w:bCs/>
        <w:color w:val="E7211D"/>
        <w:position w:val="0"/>
      </w:rPr>
    </w:lvl>
    <w:lvl w:ilvl="1">
      <w:start w:val="1"/>
      <w:numFmt w:val="bullet"/>
      <w:lvlText w:val="•"/>
      <w:lvlJc w:val="left"/>
      <w:pPr>
        <w:tabs>
          <w:tab w:val="num" w:pos="-1"/>
        </w:tabs>
        <w:ind w:left="-1"/>
      </w:pPr>
      <w:rPr>
        <w:b/>
        <w:bCs/>
        <w:color w:val="E7211D"/>
        <w:position w:val="0"/>
      </w:rPr>
    </w:lvl>
    <w:lvl w:ilvl="2">
      <w:start w:val="1"/>
      <w:numFmt w:val="bullet"/>
      <w:lvlText w:val="•"/>
      <w:lvlJc w:val="left"/>
      <w:pPr>
        <w:tabs>
          <w:tab w:val="num" w:pos="-1"/>
        </w:tabs>
        <w:ind w:left="-1"/>
      </w:pPr>
      <w:rPr>
        <w:b/>
        <w:bCs/>
        <w:color w:val="E7211D"/>
        <w:position w:val="0"/>
      </w:rPr>
    </w:lvl>
    <w:lvl w:ilvl="3">
      <w:start w:val="1"/>
      <w:numFmt w:val="bullet"/>
      <w:lvlText w:val="•"/>
      <w:lvlJc w:val="left"/>
      <w:pPr>
        <w:tabs>
          <w:tab w:val="num" w:pos="-1"/>
        </w:tabs>
        <w:ind w:left="-1"/>
      </w:pPr>
      <w:rPr>
        <w:b/>
        <w:bCs/>
        <w:color w:val="E7211D"/>
        <w:position w:val="0"/>
      </w:rPr>
    </w:lvl>
    <w:lvl w:ilvl="4">
      <w:start w:val="1"/>
      <w:numFmt w:val="bullet"/>
      <w:lvlText w:val="•"/>
      <w:lvlJc w:val="left"/>
      <w:pPr>
        <w:tabs>
          <w:tab w:val="num" w:pos="-1"/>
        </w:tabs>
        <w:ind w:left="-1"/>
      </w:pPr>
      <w:rPr>
        <w:b/>
        <w:bCs/>
        <w:color w:val="E7211D"/>
        <w:position w:val="0"/>
      </w:rPr>
    </w:lvl>
    <w:lvl w:ilvl="5">
      <w:start w:val="1"/>
      <w:numFmt w:val="bullet"/>
      <w:lvlText w:val="•"/>
      <w:lvlJc w:val="left"/>
      <w:pPr>
        <w:tabs>
          <w:tab w:val="num" w:pos="-1"/>
        </w:tabs>
        <w:ind w:left="-1"/>
      </w:pPr>
      <w:rPr>
        <w:b/>
        <w:bCs/>
        <w:color w:val="E7211D"/>
        <w:position w:val="0"/>
      </w:rPr>
    </w:lvl>
    <w:lvl w:ilvl="6">
      <w:start w:val="1"/>
      <w:numFmt w:val="bullet"/>
      <w:lvlText w:val="•"/>
      <w:lvlJc w:val="left"/>
      <w:pPr>
        <w:tabs>
          <w:tab w:val="num" w:pos="-1"/>
        </w:tabs>
        <w:ind w:left="-1"/>
      </w:pPr>
      <w:rPr>
        <w:b/>
        <w:bCs/>
        <w:color w:val="E7211D"/>
        <w:position w:val="0"/>
      </w:rPr>
    </w:lvl>
    <w:lvl w:ilvl="7">
      <w:start w:val="1"/>
      <w:numFmt w:val="bullet"/>
      <w:lvlText w:val="•"/>
      <w:lvlJc w:val="left"/>
      <w:pPr>
        <w:tabs>
          <w:tab w:val="num" w:pos="-1"/>
        </w:tabs>
        <w:ind w:left="-1"/>
      </w:pPr>
      <w:rPr>
        <w:b/>
        <w:bCs/>
        <w:color w:val="E7211D"/>
        <w:position w:val="0"/>
      </w:rPr>
    </w:lvl>
    <w:lvl w:ilvl="8">
      <w:start w:val="1"/>
      <w:numFmt w:val="bullet"/>
      <w:lvlText w:val="•"/>
      <w:lvlJc w:val="left"/>
      <w:pPr>
        <w:tabs>
          <w:tab w:val="num" w:pos="-1"/>
        </w:tabs>
        <w:ind w:left="-1"/>
      </w:pPr>
      <w:rPr>
        <w:b/>
        <w:bCs/>
        <w:color w:val="E7211D"/>
        <w:position w:val="0"/>
      </w:rPr>
    </w:lvl>
  </w:abstractNum>
  <w:abstractNum w:abstractNumId="7" w15:restartNumberingAfterBreak="0">
    <w:nsid w:val="15895FD1"/>
    <w:multiLevelType w:val="hybridMultilevel"/>
    <w:tmpl w:val="11C8A0EC"/>
    <w:lvl w:ilvl="0" w:tplc="040C0001">
      <w:start w:val="1"/>
      <w:numFmt w:val="bullet"/>
      <w:lvlText w:val=""/>
      <w:lvlJc w:val="left"/>
      <w:pPr>
        <w:ind w:left="720" w:hanging="360"/>
      </w:pPr>
      <w:rPr>
        <w:rFonts w:ascii="Symbol" w:hAnsi="Symbol" w:hint="default"/>
      </w:rPr>
    </w:lvl>
    <w:lvl w:ilvl="1" w:tplc="000895FA">
      <w:numFmt w:val="bullet"/>
      <w:lvlText w:val="·"/>
      <w:lvlJc w:val="left"/>
      <w:pPr>
        <w:ind w:left="1440" w:hanging="360"/>
      </w:pPr>
      <w:rPr>
        <w:rFonts w:ascii="Times New Roman" w:eastAsia="Times New Roman" w:hAnsi="Times New Roman" w:cs="Times New Roman" w:hint="default"/>
        <w:color w:val="1F497D"/>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3B6359"/>
    <w:multiLevelType w:val="multilevel"/>
    <w:tmpl w:val="1D582798"/>
    <w:styleLink w:val="Liste51"/>
    <w:lvl w:ilvl="0">
      <w:numFmt w:val="bullet"/>
      <w:lvlText w:val="•"/>
      <w:lvlJc w:val="left"/>
      <w:rPr>
        <w:b/>
        <w:bCs/>
        <w:color w:val="E7211D"/>
        <w:position w:val="0"/>
      </w:rPr>
    </w:lvl>
    <w:lvl w:ilvl="1">
      <w:start w:val="1"/>
      <w:numFmt w:val="bullet"/>
      <w:lvlText w:val="•"/>
      <w:lvlJc w:val="left"/>
      <w:pPr>
        <w:tabs>
          <w:tab w:val="num" w:pos="-1"/>
        </w:tabs>
        <w:ind w:left="-1"/>
      </w:pPr>
      <w:rPr>
        <w:b/>
        <w:bCs/>
        <w:color w:val="E7211D"/>
        <w:position w:val="0"/>
      </w:rPr>
    </w:lvl>
    <w:lvl w:ilvl="2">
      <w:start w:val="1"/>
      <w:numFmt w:val="bullet"/>
      <w:lvlText w:val="•"/>
      <w:lvlJc w:val="left"/>
      <w:pPr>
        <w:tabs>
          <w:tab w:val="num" w:pos="-1"/>
        </w:tabs>
        <w:ind w:left="-1"/>
      </w:pPr>
      <w:rPr>
        <w:b/>
        <w:bCs/>
        <w:color w:val="E7211D"/>
        <w:position w:val="0"/>
      </w:rPr>
    </w:lvl>
    <w:lvl w:ilvl="3">
      <w:start w:val="1"/>
      <w:numFmt w:val="bullet"/>
      <w:lvlText w:val="•"/>
      <w:lvlJc w:val="left"/>
      <w:pPr>
        <w:tabs>
          <w:tab w:val="num" w:pos="-1"/>
        </w:tabs>
        <w:ind w:left="-1"/>
      </w:pPr>
      <w:rPr>
        <w:b/>
        <w:bCs/>
        <w:color w:val="E7211D"/>
        <w:position w:val="0"/>
      </w:rPr>
    </w:lvl>
    <w:lvl w:ilvl="4">
      <w:start w:val="1"/>
      <w:numFmt w:val="bullet"/>
      <w:lvlText w:val="•"/>
      <w:lvlJc w:val="left"/>
      <w:pPr>
        <w:tabs>
          <w:tab w:val="num" w:pos="-1"/>
        </w:tabs>
        <w:ind w:left="-1"/>
      </w:pPr>
      <w:rPr>
        <w:b/>
        <w:bCs/>
        <w:color w:val="E7211D"/>
        <w:position w:val="0"/>
      </w:rPr>
    </w:lvl>
    <w:lvl w:ilvl="5">
      <w:start w:val="1"/>
      <w:numFmt w:val="bullet"/>
      <w:lvlText w:val="•"/>
      <w:lvlJc w:val="left"/>
      <w:pPr>
        <w:tabs>
          <w:tab w:val="num" w:pos="-1"/>
        </w:tabs>
        <w:ind w:left="-1"/>
      </w:pPr>
      <w:rPr>
        <w:b/>
        <w:bCs/>
        <w:color w:val="E7211D"/>
        <w:position w:val="0"/>
      </w:rPr>
    </w:lvl>
    <w:lvl w:ilvl="6">
      <w:start w:val="1"/>
      <w:numFmt w:val="bullet"/>
      <w:lvlText w:val="•"/>
      <w:lvlJc w:val="left"/>
      <w:pPr>
        <w:tabs>
          <w:tab w:val="num" w:pos="-1"/>
        </w:tabs>
        <w:ind w:left="-1"/>
      </w:pPr>
      <w:rPr>
        <w:b/>
        <w:bCs/>
        <w:color w:val="E7211D"/>
        <w:position w:val="0"/>
      </w:rPr>
    </w:lvl>
    <w:lvl w:ilvl="7">
      <w:start w:val="1"/>
      <w:numFmt w:val="bullet"/>
      <w:lvlText w:val="•"/>
      <w:lvlJc w:val="left"/>
      <w:pPr>
        <w:tabs>
          <w:tab w:val="num" w:pos="-1"/>
        </w:tabs>
        <w:ind w:left="-1"/>
      </w:pPr>
      <w:rPr>
        <w:b/>
        <w:bCs/>
        <w:color w:val="E7211D"/>
        <w:position w:val="0"/>
      </w:rPr>
    </w:lvl>
    <w:lvl w:ilvl="8">
      <w:start w:val="1"/>
      <w:numFmt w:val="bullet"/>
      <w:lvlText w:val="•"/>
      <w:lvlJc w:val="left"/>
      <w:pPr>
        <w:tabs>
          <w:tab w:val="num" w:pos="-1"/>
        </w:tabs>
        <w:ind w:left="-1"/>
      </w:pPr>
      <w:rPr>
        <w:b/>
        <w:bCs/>
        <w:color w:val="E7211D"/>
        <w:position w:val="0"/>
      </w:rPr>
    </w:lvl>
  </w:abstractNum>
  <w:abstractNum w:abstractNumId="9" w15:restartNumberingAfterBreak="0">
    <w:nsid w:val="1BF81D66"/>
    <w:multiLevelType w:val="hybridMultilevel"/>
    <w:tmpl w:val="899E0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52224A0"/>
    <w:multiLevelType w:val="multilevel"/>
    <w:tmpl w:val="73FE63AE"/>
    <w:styleLink w:val="Liste21"/>
    <w:lvl w:ilvl="0">
      <w:numFmt w:val="bullet"/>
      <w:lvlText w:val="-"/>
      <w:lvlJc w:val="left"/>
      <w:pPr>
        <w:tabs>
          <w:tab w:val="num" w:pos="1210"/>
        </w:tabs>
        <w:ind w:left="1210" w:hanging="360"/>
      </w:pPr>
      <w:rPr>
        <w:rFonts w:ascii="Raleway" w:eastAsia="Raleway" w:hAnsi="Raleway" w:cs="Raleway"/>
        <w:color w:val="E7211D"/>
        <w:position w:val="0"/>
        <w:sz w:val="20"/>
        <w:szCs w:val="20"/>
      </w:rPr>
    </w:lvl>
    <w:lvl w:ilvl="1">
      <w:start w:val="1"/>
      <w:numFmt w:val="bullet"/>
      <w:lvlText w:val="-"/>
      <w:lvlJc w:val="left"/>
      <w:pPr>
        <w:tabs>
          <w:tab w:val="num" w:pos="1930"/>
        </w:tabs>
        <w:ind w:left="1570" w:hanging="360"/>
      </w:pPr>
      <w:rPr>
        <w:rFonts w:ascii="Raleway" w:eastAsia="Raleway" w:hAnsi="Raleway" w:cs="Raleway"/>
        <w:color w:val="E7211D"/>
        <w:position w:val="0"/>
        <w:sz w:val="20"/>
        <w:szCs w:val="20"/>
      </w:rPr>
    </w:lvl>
    <w:lvl w:ilvl="2">
      <w:start w:val="1"/>
      <w:numFmt w:val="bullet"/>
      <w:lvlText w:val="-"/>
      <w:lvlJc w:val="left"/>
      <w:pPr>
        <w:tabs>
          <w:tab w:val="num" w:pos="2650"/>
        </w:tabs>
        <w:ind w:left="1930" w:hanging="360"/>
      </w:pPr>
      <w:rPr>
        <w:rFonts w:ascii="Raleway" w:eastAsia="Raleway" w:hAnsi="Raleway" w:cs="Raleway"/>
        <w:color w:val="E7211D"/>
        <w:position w:val="0"/>
        <w:sz w:val="20"/>
        <w:szCs w:val="20"/>
      </w:rPr>
    </w:lvl>
    <w:lvl w:ilvl="3">
      <w:start w:val="1"/>
      <w:numFmt w:val="bullet"/>
      <w:lvlText w:val="-"/>
      <w:lvlJc w:val="left"/>
      <w:pPr>
        <w:tabs>
          <w:tab w:val="num" w:pos="3370"/>
        </w:tabs>
        <w:ind w:left="2290" w:hanging="360"/>
      </w:pPr>
      <w:rPr>
        <w:rFonts w:ascii="Raleway" w:eastAsia="Raleway" w:hAnsi="Raleway" w:cs="Raleway"/>
        <w:color w:val="E7211D"/>
        <w:position w:val="0"/>
        <w:sz w:val="20"/>
        <w:szCs w:val="20"/>
      </w:rPr>
    </w:lvl>
    <w:lvl w:ilvl="4">
      <w:start w:val="1"/>
      <w:numFmt w:val="bullet"/>
      <w:lvlText w:val="-"/>
      <w:lvlJc w:val="left"/>
      <w:pPr>
        <w:tabs>
          <w:tab w:val="num" w:pos="4090"/>
        </w:tabs>
        <w:ind w:left="2650" w:hanging="360"/>
      </w:pPr>
      <w:rPr>
        <w:rFonts w:ascii="Raleway" w:eastAsia="Raleway" w:hAnsi="Raleway" w:cs="Raleway"/>
        <w:color w:val="E7211D"/>
        <w:position w:val="0"/>
        <w:sz w:val="20"/>
        <w:szCs w:val="20"/>
      </w:rPr>
    </w:lvl>
    <w:lvl w:ilvl="5">
      <w:start w:val="1"/>
      <w:numFmt w:val="bullet"/>
      <w:lvlText w:val="-"/>
      <w:lvlJc w:val="left"/>
      <w:pPr>
        <w:tabs>
          <w:tab w:val="num" w:pos="4810"/>
        </w:tabs>
        <w:ind w:left="3010" w:hanging="360"/>
      </w:pPr>
      <w:rPr>
        <w:rFonts w:ascii="Raleway" w:eastAsia="Raleway" w:hAnsi="Raleway" w:cs="Raleway"/>
        <w:color w:val="E7211D"/>
        <w:position w:val="0"/>
        <w:sz w:val="20"/>
        <w:szCs w:val="20"/>
      </w:rPr>
    </w:lvl>
    <w:lvl w:ilvl="6">
      <w:start w:val="1"/>
      <w:numFmt w:val="bullet"/>
      <w:lvlText w:val="-"/>
      <w:lvlJc w:val="left"/>
      <w:pPr>
        <w:tabs>
          <w:tab w:val="num" w:pos="5530"/>
        </w:tabs>
        <w:ind w:left="3370" w:hanging="360"/>
      </w:pPr>
      <w:rPr>
        <w:rFonts w:ascii="Raleway" w:eastAsia="Raleway" w:hAnsi="Raleway" w:cs="Raleway"/>
        <w:color w:val="E7211D"/>
        <w:position w:val="0"/>
        <w:sz w:val="20"/>
        <w:szCs w:val="20"/>
      </w:rPr>
    </w:lvl>
    <w:lvl w:ilvl="7">
      <w:start w:val="1"/>
      <w:numFmt w:val="bullet"/>
      <w:lvlText w:val="-"/>
      <w:lvlJc w:val="left"/>
      <w:pPr>
        <w:tabs>
          <w:tab w:val="num" w:pos="6250"/>
        </w:tabs>
        <w:ind w:left="3730" w:hanging="360"/>
      </w:pPr>
      <w:rPr>
        <w:rFonts w:ascii="Raleway" w:eastAsia="Raleway" w:hAnsi="Raleway" w:cs="Raleway"/>
        <w:color w:val="E7211D"/>
        <w:position w:val="0"/>
        <w:sz w:val="20"/>
        <w:szCs w:val="20"/>
      </w:rPr>
    </w:lvl>
    <w:lvl w:ilvl="8">
      <w:start w:val="1"/>
      <w:numFmt w:val="bullet"/>
      <w:lvlText w:val="-"/>
      <w:lvlJc w:val="left"/>
      <w:pPr>
        <w:tabs>
          <w:tab w:val="num" w:pos="6970"/>
        </w:tabs>
        <w:ind w:left="4090" w:hanging="360"/>
      </w:pPr>
      <w:rPr>
        <w:rFonts w:ascii="Raleway" w:eastAsia="Raleway" w:hAnsi="Raleway" w:cs="Raleway"/>
        <w:color w:val="E7211D"/>
        <w:position w:val="0"/>
        <w:sz w:val="20"/>
        <w:szCs w:val="20"/>
      </w:rPr>
    </w:lvl>
  </w:abstractNum>
  <w:abstractNum w:abstractNumId="11" w15:restartNumberingAfterBreak="0">
    <w:nsid w:val="35DE42D0"/>
    <w:multiLevelType w:val="multilevel"/>
    <w:tmpl w:val="B24EE804"/>
    <w:styleLink w:val="Liste41"/>
    <w:lvl w:ilvl="0">
      <w:numFmt w:val="bullet"/>
      <w:lvlText w:val="-"/>
      <w:lvlJc w:val="left"/>
      <w:pPr>
        <w:tabs>
          <w:tab w:val="num" w:pos="1210"/>
        </w:tabs>
        <w:ind w:left="1210" w:hanging="360"/>
      </w:pPr>
      <w:rPr>
        <w:rFonts w:ascii="Raleway" w:eastAsia="Raleway" w:hAnsi="Raleway" w:cs="Raleway"/>
        <w:color w:val="E7211D"/>
        <w:position w:val="0"/>
        <w:sz w:val="20"/>
        <w:szCs w:val="20"/>
      </w:rPr>
    </w:lvl>
    <w:lvl w:ilvl="1">
      <w:start w:val="1"/>
      <w:numFmt w:val="bullet"/>
      <w:lvlText w:val="-"/>
      <w:lvlJc w:val="left"/>
      <w:pPr>
        <w:tabs>
          <w:tab w:val="num" w:pos="1930"/>
        </w:tabs>
        <w:ind w:left="1570" w:hanging="360"/>
      </w:pPr>
      <w:rPr>
        <w:rFonts w:ascii="Raleway" w:eastAsia="Raleway" w:hAnsi="Raleway" w:cs="Raleway"/>
        <w:color w:val="E7211D"/>
        <w:position w:val="0"/>
        <w:sz w:val="20"/>
        <w:szCs w:val="20"/>
      </w:rPr>
    </w:lvl>
    <w:lvl w:ilvl="2">
      <w:start w:val="1"/>
      <w:numFmt w:val="bullet"/>
      <w:lvlText w:val="-"/>
      <w:lvlJc w:val="left"/>
      <w:pPr>
        <w:tabs>
          <w:tab w:val="num" w:pos="2650"/>
        </w:tabs>
        <w:ind w:left="1930" w:hanging="360"/>
      </w:pPr>
      <w:rPr>
        <w:rFonts w:ascii="Raleway" w:eastAsia="Raleway" w:hAnsi="Raleway" w:cs="Raleway"/>
        <w:color w:val="E7211D"/>
        <w:position w:val="0"/>
        <w:sz w:val="20"/>
        <w:szCs w:val="20"/>
      </w:rPr>
    </w:lvl>
    <w:lvl w:ilvl="3">
      <w:start w:val="1"/>
      <w:numFmt w:val="bullet"/>
      <w:lvlText w:val="-"/>
      <w:lvlJc w:val="left"/>
      <w:pPr>
        <w:tabs>
          <w:tab w:val="num" w:pos="3370"/>
        </w:tabs>
        <w:ind w:left="2290" w:hanging="360"/>
      </w:pPr>
      <w:rPr>
        <w:rFonts w:ascii="Raleway" w:eastAsia="Raleway" w:hAnsi="Raleway" w:cs="Raleway"/>
        <w:color w:val="E7211D"/>
        <w:position w:val="0"/>
        <w:sz w:val="20"/>
        <w:szCs w:val="20"/>
      </w:rPr>
    </w:lvl>
    <w:lvl w:ilvl="4">
      <w:start w:val="1"/>
      <w:numFmt w:val="bullet"/>
      <w:lvlText w:val="-"/>
      <w:lvlJc w:val="left"/>
      <w:pPr>
        <w:tabs>
          <w:tab w:val="num" w:pos="4090"/>
        </w:tabs>
        <w:ind w:left="2650" w:hanging="360"/>
      </w:pPr>
      <w:rPr>
        <w:rFonts w:ascii="Raleway" w:eastAsia="Raleway" w:hAnsi="Raleway" w:cs="Raleway"/>
        <w:color w:val="E7211D"/>
        <w:position w:val="0"/>
        <w:sz w:val="20"/>
        <w:szCs w:val="20"/>
      </w:rPr>
    </w:lvl>
    <w:lvl w:ilvl="5">
      <w:start w:val="1"/>
      <w:numFmt w:val="bullet"/>
      <w:lvlText w:val="-"/>
      <w:lvlJc w:val="left"/>
      <w:pPr>
        <w:tabs>
          <w:tab w:val="num" w:pos="4810"/>
        </w:tabs>
        <w:ind w:left="3010" w:hanging="360"/>
      </w:pPr>
      <w:rPr>
        <w:rFonts w:ascii="Raleway" w:eastAsia="Raleway" w:hAnsi="Raleway" w:cs="Raleway"/>
        <w:color w:val="E7211D"/>
        <w:position w:val="0"/>
        <w:sz w:val="20"/>
        <w:szCs w:val="20"/>
      </w:rPr>
    </w:lvl>
    <w:lvl w:ilvl="6">
      <w:start w:val="1"/>
      <w:numFmt w:val="bullet"/>
      <w:lvlText w:val="-"/>
      <w:lvlJc w:val="left"/>
      <w:pPr>
        <w:tabs>
          <w:tab w:val="num" w:pos="5530"/>
        </w:tabs>
        <w:ind w:left="3370" w:hanging="360"/>
      </w:pPr>
      <w:rPr>
        <w:rFonts w:ascii="Raleway" w:eastAsia="Raleway" w:hAnsi="Raleway" w:cs="Raleway"/>
        <w:color w:val="E7211D"/>
        <w:position w:val="0"/>
        <w:sz w:val="20"/>
        <w:szCs w:val="20"/>
      </w:rPr>
    </w:lvl>
    <w:lvl w:ilvl="7">
      <w:start w:val="1"/>
      <w:numFmt w:val="bullet"/>
      <w:lvlText w:val="-"/>
      <w:lvlJc w:val="left"/>
      <w:pPr>
        <w:tabs>
          <w:tab w:val="num" w:pos="6250"/>
        </w:tabs>
        <w:ind w:left="3730" w:hanging="360"/>
      </w:pPr>
      <w:rPr>
        <w:rFonts w:ascii="Raleway" w:eastAsia="Raleway" w:hAnsi="Raleway" w:cs="Raleway"/>
        <w:color w:val="E7211D"/>
        <w:position w:val="0"/>
        <w:sz w:val="20"/>
        <w:szCs w:val="20"/>
      </w:rPr>
    </w:lvl>
    <w:lvl w:ilvl="8">
      <w:start w:val="1"/>
      <w:numFmt w:val="bullet"/>
      <w:lvlText w:val="-"/>
      <w:lvlJc w:val="left"/>
      <w:pPr>
        <w:tabs>
          <w:tab w:val="num" w:pos="6970"/>
        </w:tabs>
        <w:ind w:left="4090" w:hanging="360"/>
      </w:pPr>
      <w:rPr>
        <w:rFonts w:ascii="Raleway" w:eastAsia="Raleway" w:hAnsi="Raleway" w:cs="Raleway"/>
        <w:color w:val="E7211D"/>
        <w:position w:val="0"/>
        <w:sz w:val="20"/>
        <w:szCs w:val="20"/>
      </w:rPr>
    </w:lvl>
  </w:abstractNum>
  <w:abstractNum w:abstractNumId="12" w15:restartNumberingAfterBreak="0">
    <w:nsid w:val="36577751"/>
    <w:multiLevelType w:val="multilevel"/>
    <w:tmpl w:val="47DE70B0"/>
    <w:styleLink w:val="List6"/>
    <w:lvl w:ilvl="0">
      <w:numFmt w:val="bullet"/>
      <w:lvlText w:val="-"/>
      <w:lvlJc w:val="left"/>
      <w:pPr>
        <w:tabs>
          <w:tab w:val="num" w:pos="502"/>
        </w:tabs>
        <w:ind w:left="502" w:hanging="218"/>
      </w:pPr>
      <w:rPr>
        <w:rFonts w:ascii="Raleway Medium" w:eastAsia="Raleway Medium" w:hAnsi="Raleway Medium" w:cs="Raleway Medium"/>
        <w:color w:val="1E2646"/>
        <w:position w:val="4"/>
        <w:sz w:val="26"/>
        <w:szCs w:val="26"/>
      </w:rPr>
    </w:lvl>
    <w:lvl w:ilvl="1">
      <w:start w:val="1"/>
      <w:numFmt w:val="bullet"/>
      <w:lvlText w:val="-"/>
      <w:lvlJc w:val="left"/>
      <w:pPr>
        <w:tabs>
          <w:tab w:val="num" w:pos="763"/>
        </w:tabs>
        <w:ind w:left="763" w:hanging="240"/>
      </w:pPr>
      <w:rPr>
        <w:rFonts w:ascii="Raleway Medium" w:eastAsia="Raleway Medium" w:hAnsi="Raleway Medium" w:cs="Raleway Medium"/>
        <w:color w:val="1E2646"/>
        <w:position w:val="4"/>
        <w:sz w:val="26"/>
        <w:szCs w:val="26"/>
      </w:rPr>
    </w:lvl>
    <w:lvl w:ilvl="2">
      <w:start w:val="1"/>
      <w:numFmt w:val="bullet"/>
      <w:lvlText w:val="-"/>
      <w:lvlJc w:val="left"/>
      <w:pPr>
        <w:tabs>
          <w:tab w:val="num" w:pos="1003"/>
        </w:tabs>
        <w:ind w:left="1003" w:hanging="240"/>
      </w:pPr>
      <w:rPr>
        <w:rFonts w:ascii="Raleway Medium" w:eastAsia="Raleway Medium" w:hAnsi="Raleway Medium" w:cs="Raleway Medium"/>
        <w:color w:val="1E2646"/>
        <w:position w:val="4"/>
        <w:sz w:val="26"/>
        <w:szCs w:val="26"/>
      </w:rPr>
    </w:lvl>
    <w:lvl w:ilvl="3">
      <w:start w:val="1"/>
      <w:numFmt w:val="bullet"/>
      <w:lvlText w:val="-"/>
      <w:lvlJc w:val="left"/>
      <w:pPr>
        <w:tabs>
          <w:tab w:val="num" w:pos="1243"/>
        </w:tabs>
        <w:ind w:left="1243" w:hanging="240"/>
      </w:pPr>
      <w:rPr>
        <w:rFonts w:ascii="Raleway Medium" w:eastAsia="Raleway Medium" w:hAnsi="Raleway Medium" w:cs="Raleway Medium"/>
        <w:color w:val="1E2646"/>
        <w:position w:val="4"/>
        <w:sz w:val="26"/>
        <w:szCs w:val="26"/>
      </w:rPr>
    </w:lvl>
    <w:lvl w:ilvl="4">
      <w:start w:val="1"/>
      <w:numFmt w:val="bullet"/>
      <w:lvlText w:val="-"/>
      <w:lvlJc w:val="left"/>
      <w:pPr>
        <w:tabs>
          <w:tab w:val="num" w:pos="1483"/>
        </w:tabs>
        <w:ind w:left="1483" w:hanging="240"/>
      </w:pPr>
      <w:rPr>
        <w:rFonts w:ascii="Raleway Medium" w:eastAsia="Raleway Medium" w:hAnsi="Raleway Medium" w:cs="Raleway Medium"/>
        <w:color w:val="1E2646"/>
        <w:position w:val="4"/>
        <w:sz w:val="26"/>
        <w:szCs w:val="26"/>
      </w:rPr>
    </w:lvl>
    <w:lvl w:ilvl="5">
      <w:start w:val="1"/>
      <w:numFmt w:val="bullet"/>
      <w:lvlText w:val="-"/>
      <w:lvlJc w:val="left"/>
      <w:pPr>
        <w:tabs>
          <w:tab w:val="num" w:pos="1723"/>
        </w:tabs>
        <w:ind w:left="1723" w:hanging="240"/>
      </w:pPr>
      <w:rPr>
        <w:rFonts w:ascii="Raleway Medium" w:eastAsia="Raleway Medium" w:hAnsi="Raleway Medium" w:cs="Raleway Medium"/>
        <w:color w:val="1E2646"/>
        <w:position w:val="4"/>
        <w:sz w:val="26"/>
        <w:szCs w:val="26"/>
      </w:rPr>
    </w:lvl>
    <w:lvl w:ilvl="6">
      <w:start w:val="1"/>
      <w:numFmt w:val="bullet"/>
      <w:lvlText w:val="-"/>
      <w:lvlJc w:val="left"/>
      <w:pPr>
        <w:tabs>
          <w:tab w:val="num" w:pos="1963"/>
        </w:tabs>
        <w:ind w:left="1963" w:hanging="240"/>
      </w:pPr>
      <w:rPr>
        <w:rFonts w:ascii="Raleway Medium" w:eastAsia="Raleway Medium" w:hAnsi="Raleway Medium" w:cs="Raleway Medium"/>
        <w:color w:val="1E2646"/>
        <w:position w:val="4"/>
        <w:sz w:val="26"/>
        <w:szCs w:val="26"/>
      </w:rPr>
    </w:lvl>
    <w:lvl w:ilvl="7">
      <w:start w:val="1"/>
      <w:numFmt w:val="bullet"/>
      <w:lvlText w:val="-"/>
      <w:lvlJc w:val="left"/>
      <w:pPr>
        <w:tabs>
          <w:tab w:val="num" w:pos="2203"/>
        </w:tabs>
        <w:ind w:left="2203" w:hanging="240"/>
      </w:pPr>
      <w:rPr>
        <w:rFonts w:ascii="Raleway Medium" w:eastAsia="Raleway Medium" w:hAnsi="Raleway Medium" w:cs="Raleway Medium"/>
        <w:color w:val="1E2646"/>
        <w:position w:val="4"/>
        <w:sz w:val="26"/>
        <w:szCs w:val="26"/>
      </w:rPr>
    </w:lvl>
    <w:lvl w:ilvl="8">
      <w:start w:val="1"/>
      <w:numFmt w:val="bullet"/>
      <w:lvlText w:val="-"/>
      <w:lvlJc w:val="left"/>
      <w:pPr>
        <w:tabs>
          <w:tab w:val="num" w:pos="2443"/>
        </w:tabs>
        <w:ind w:left="2443" w:hanging="240"/>
      </w:pPr>
      <w:rPr>
        <w:rFonts w:ascii="Raleway Medium" w:eastAsia="Raleway Medium" w:hAnsi="Raleway Medium" w:cs="Raleway Medium"/>
        <w:color w:val="1E2646"/>
        <w:position w:val="4"/>
        <w:sz w:val="26"/>
        <w:szCs w:val="26"/>
      </w:rPr>
    </w:lvl>
  </w:abstractNum>
  <w:abstractNum w:abstractNumId="13" w15:restartNumberingAfterBreak="0">
    <w:nsid w:val="3B5F785D"/>
    <w:multiLevelType w:val="hybridMultilevel"/>
    <w:tmpl w:val="99946C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B557C0"/>
    <w:multiLevelType w:val="hybridMultilevel"/>
    <w:tmpl w:val="7868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1149F2"/>
    <w:multiLevelType w:val="hybridMultilevel"/>
    <w:tmpl w:val="2EA03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66139E"/>
    <w:multiLevelType w:val="multilevel"/>
    <w:tmpl w:val="6C5ECF6C"/>
    <w:styleLink w:val="List7"/>
    <w:lvl w:ilvl="0">
      <w:numFmt w:val="bullet"/>
      <w:lvlText w:val="➡"/>
      <w:lvlJc w:val="left"/>
      <w:rPr>
        <w:b/>
        <w:bCs/>
        <w:color w:val="E7211D"/>
        <w:position w:val="0"/>
      </w:rPr>
    </w:lvl>
    <w:lvl w:ilvl="1">
      <w:start w:val="1"/>
      <w:numFmt w:val="bullet"/>
      <w:lvlText w:val="➡"/>
      <w:lvlJc w:val="left"/>
      <w:pPr>
        <w:tabs>
          <w:tab w:val="num" w:pos="-1"/>
        </w:tabs>
        <w:ind w:left="-1"/>
      </w:pPr>
      <w:rPr>
        <w:b/>
        <w:bCs/>
        <w:color w:val="E7211D"/>
        <w:position w:val="0"/>
      </w:rPr>
    </w:lvl>
    <w:lvl w:ilvl="2">
      <w:start w:val="1"/>
      <w:numFmt w:val="bullet"/>
      <w:lvlText w:val="➡"/>
      <w:lvlJc w:val="left"/>
      <w:pPr>
        <w:tabs>
          <w:tab w:val="num" w:pos="-1"/>
        </w:tabs>
        <w:ind w:left="-1"/>
      </w:pPr>
      <w:rPr>
        <w:b/>
        <w:bCs/>
        <w:color w:val="E7211D"/>
        <w:position w:val="0"/>
      </w:rPr>
    </w:lvl>
    <w:lvl w:ilvl="3">
      <w:start w:val="1"/>
      <w:numFmt w:val="bullet"/>
      <w:lvlText w:val="➡"/>
      <w:lvlJc w:val="left"/>
      <w:pPr>
        <w:tabs>
          <w:tab w:val="num" w:pos="-1"/>
        </w:tabs>
        <w:ind w:left="-1"/>
      </w:pPr>
      <w:rPr>
        <w:b/>
        <w:bCs/>
        <w:color w:val="E7211D"/>
        <w:position w:val="0"/>
      </w:rPr>
    </w:lvl>
    <w:lvl w:ilvl="4">
      <w:start w:val="1"/>
      <w:numFmt w:val="bullet"/>
      <w:lvlText w:val="➡"/>
      <w:lvlJc w:val="left"/>
      <w:pPr>
        <w:tabs>
          <w:tab w:val="num" w:pos="-1"/>
        </w:tabs>
        <w:ind w:left="-1"/>
      </w:pPr>
      <w:rPr>
        <w:b/>
        <w:bCs/>
        <w:color w:val="E7211D"/>
        <w:position w:val="0"/>
      </w:rPr>
    </w:lvl>
    <w:lvl w:ilvl="5">
      <w:start w:val="1"/>
      <w:numFmt w:val="bullet"/>
      <w:lvlText w:val="➡"/>
      <w:lvlJc w:val="left"/>
      <w:pPr>
        <w:tabs>
          <w:tab w:val="num" w:pos="-1"/>
        </w:tabs>
        <w:ind w:left="-1"/>
      </w:pPr>
      <w:rPr>
        <w:b/>
        <w:bCs/>
        <w:color w:val="E7211D"/>
        <w:position w:val="0"/>
      </w:rPr>
    </w:lvl>
    <w:lvl w:ilvl="6">
      <w:start w:val="1"/>
      <w:numFmt w:val="bullet"/>
      <w:lvlText w:val="➡"/>
      <w:lvlJc w:val="left"/>
      <w:pPr>
        <w:tabs>
          <w:tab w:val="num" w:pos="-1"/>
        </w:tabs>
        <w:ind w:left="-1"/>
      </w:pPr>
      <w:rPr>
        <w:b/>
        <w:bCs/>
        <w:color w:val="E7211D"/>
        <w:position w:val="0"/>
      </w:rPr>
    </w:lvl>
    <w:lvl w:ilvl="7">
      <w:start w:val="1"/>
      <w:numFmt w:val="bullet"/>
      <w:lvlText w:val="➡"/>
      <w:lvlJc w:val="left"/>
      <w:pPr>
        <w:tabs>
          <w:tab w:val="num" w:pos="-1"/>
        </w:tabs>
        <w:ind w:left="-1"/>
      </w:pPr>
      <w:rPr>
        <w:b/>
        <w:bCs/>
        <w:color w:val="E7211D"/>
        <w:position w:val="0"/>
      </w:rPr>
    </w:lvl>
    <w:lvl w:ilvl="8">
      <w:start w:val="1"/>
      <w:numFmt w:val="bullet"/>
      <w:lvlText w:val="➡"/>
      <w:lvlJc w:val="left"/>
      <w:pPr>
        <w:tabs>
          <w:tab w:val="num" w:pos="-1"/>
        </w:tabs>
        <w:ind w:left="-1"/>
      </w:pPr>
      <w:rPr>
        <w:b/>
        <w:bCs/>
        <w:color w:val="E7211D"/>
        <w:position w:val="0"/>
      </w:rPr>
    </w:lvl>
  </w:abstractNum>
  <w:abstractNum w:abstractNumId="17" w15:restartNumberingAfterBreak="0">
    <w:nsid w:val="4A915134"/>
    <w:multiLevelType w:val="multilevel"/>
    <w:tmpl w:val="F60C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947CC4"/>
    <w:multiLevelType w:val="hybridMultilevel"/>
    <w:tmpl w:val="5B9269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1777818"/>
    <w:multiLevelType w:val="multilevel"/>
    <w:tmpl w:val="1778BCE0"/>
    <w:styleLink w:val="List1"/>
    <w:lvl w:ilvl="0">
      <w:numFmt w:val="bullet"/>
      <w:lvlText w:val="•"/>
      <w:lvlJc w:val="left"/>
      <w:rPr>
        <w:b/>
        <w:bCs/>
        <w:color w:val="E7211D"/>
        <w:position w:val="0"/>
      </w:rPr>
    </w:lvl>
    <w:lvl w:ilvl="1">
      <w:start w:val="1"/>
      <w:numFmt w:val="bullet"/>
      <w:lvlText w:val="•"/>
      <w:lvlJc w:val="left"/>
      <w:pPr>
        <w:tabs>
          <w:tab w:val="num" w:pos="-1"/>
        </w:tabs>
        <w:ind w:left="-1"/>
      </w:pPr>
      <w:rPr>
        <w:b/>
        <w:bCs/>
        <w:color w:val="E7211D"/>
        <w:position w:val="0"/>
      </w:rPr>
    </w:lvl>
    <w:lvl w:ilvl="2">
      <w:start w:val="1"/>
      <w:numFmt w:val="bullet"/>
      <w:lvlText w:val="•"/>
      <w:lvlJc w:val="left"/>
      <w:pPr>
        <w:tabs>
          <w:tab w:val="num" w:pos="-1"/>
        </w:tabs>
        <w:ind w:left="-1"/>
      </w:pPr>
      <w:rPr>
        <w:b/>
        <w:bCs/>
        <w:color w:val="E7211D"/>
        <w:position w:val="0"/>
      </w:rPr>
    </w:lvl>
    <w:lvl w:ilvl="3">
      <w:start w:val="1"/>
      <w:numFmt w:val="bullet"/>
      <w:lvlText w:val="•"/>
      <w:lvlJc w:val="left"/>
      <w:pPr>
        <w:tabs>
          <w:tab w:val="num" w:pos="-1"/>
        </w:tabs>
        <w:ind w:left="-1"/>
      </w:pPr>
      <w:rPr>
        <w:b/>
        <w:bCs/>
        <w:color w:val="E7211D"/>
        <w:position w:val="0"/>
      </w:rPr>
    </w:lvl>
    <w:lvl w:ilvl="4">
      <w:start w:val="1"/>
      <w:numFmt w:val="bullet"/>
      <w:lvlText w:val="•"/>
      <w:lvlJc w:val="left"/>
      <w:pPr>
        <w:tabs>
          <w:tab w:val="num" w:pos="-1"/>
        </w:tabs>
        <w:ind w:left="-1"/>
      </w:pPr>
      <w:rPr>
        <w:b/>
        <w:bCs/>
        <w:color w:val="E7211D"/>
        <w:position w:val="0"/>
      </w:rPr>
    </w:lvl>
    <w:lvl w:ilvl="5">
      <w:start w:val="1"/>
      <w:numFmt w:val="bullet"/>
      <w:lvlText w:val="•"/>
      <w:lvlJc w:val="left"/>
      <w:pPr>
        <w:tabs>
          <w:tab w:val="num" w:pos="-1"/>
        </w:tabs>
        <w:ind w:left="-1"/>
      </w:pPr>
      <w:rPr>
        <w:b/>
        <w:bCs/>
        <w:color w:val="E7211D"/>
        <w:position w:val="0"/>
      </w:rPr>
    </w:lvl>
    <w:lvl w:ilvl="6">
      <w:start w:val="1"/>
      <w:numFmt w:val="bullet"/>
      <w:lvlText w:val="•"/>
      <w:lvlJc w:val="left"/>
      <w:pPr>
        <w:tabs>
          <w:tab w:val="num" w:pos="-1"/>
        </w:tabs>
        <w:ind w:left="-1"/>
      </w:pPr>
      <w:rPr>
        <w:b/>
        <w:bCs/>
        <w:color w:val="E7211D"/>
        <w:position w:val="0"/>
      </w:rPr>
    </w:lvl>
    <w:lvl w:ilvl="7">
      <w:start w:val="1"/>
      <w:numFmt w:val="bullet"/>
      <w:lvlText w:val="•"/>
      <w:lvlJc w:val="left"/>
      <w:pPr>
        <w:tabs>
          <w:tab w:val="num" w:pos="-1"/>
        </w:tabs>
        <w:ind w:left="-1"/>
      </w:pPr>
      <w:rPr>
        <w:b/>
        <w:bCs/>
        <w:color w:val="E7211D"/>
        <w:position w:val="0"/>
      </w:rPr>
    </w:lvl>
    <w:lvl w:ilvl="8">
      <w:start w:val="1"/>
      <w:numFmt w:val="bullet"/>
      <w:lvlText w:val="•"/>
      <w:lvlJc w:val="left"/>
      <w:pPr>
        <w:tabs>
          <w:tab w:val="num" w:pos="-1"/>
        </w:tabs>
        <w:ind w:left="-1"/>
      </w:pPr>
      <w:rPr>
        <w:b/>
        <w:bCs/>
        <w:color w:val="E7211D"/>
        <w:position w:val="0"/>
      </w:rPr>
    </w:lvl>
  </w:abstractNum>
  <w:num w:numId="1">
    <w:abstractNumId w:val="1"/>
  </w:num>
  <w:num w:numId="2">
    <w:abstractNumId w:val="10"/>
  </w:num>
  <w:num w:numId="3">
    <w:abstractNumId w:val="19"/>
  </w:num>
  <w:num w:numId="4">
    <w:abstractNumId w:val="6"/>
  </w:num>
  <w:num w:numId="5">
    <w:abstractNumId w:val="12"/>
  </w:num>
  <w:num w:numId="6">
    <w:abstractNumId w:val="8"/>
  </w:num>
  <w:num w:numId="7">
    <w:abstractNumId w:val="11"/>
  </w:num>
  <w:num w:numId="8">
    <w:abstractNumId w:val="16"/>
  </w:num>
  <w:num w:numId="9">
    <w:abstractNumId w:val="0"/>
  </w:num>
  <w:num w:numId="10">
    <w:abstractNumId w:val="9"/>
  </w:num>
  <w:num w:numId="11">
    <w:abstractNumId w:val="18"/>
  </w:num>
  <w:num w:numId="12">
    <w:abstractNumId w:val="15"/>
  </w:num>
  <w:num w:numId="13">
    <w:abstractNumId w:val="4"/>
  </w:num>
  <w:num w:numId="14">
    <w:abstractNumId w:val="14"/>
  </w:num>
  <w:num w:numId="15">
    <w:abstractNumId w:val="5"/>
  </w:num>
  <w:num w:numId="16">
    <w:abstractNumId w:val="7"/>
  </w:num>
  <w:num w:numId="17">
    <w:abstractNumId w:val="3"/>
  </w:num>
  <w:num w:numId="18">
    <w:abstractNumId w:val="2"/>
  </w:num>
  <w:num w:numId="19">
    <w:abstractNumId w:val="13"/>
  </w:num>
  <w:num w:numId="2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FE2"/>
    <w:rsid w:val="00002BC3"/>
    <w:rsid w:val="0000340F"/>
    <w:rsid w:val="00006773"/>
    <w:rsid w:val="00006BDB"/>
    <w:rsid w:val="000077BF"/>
    <w:rsid w:val="000221BB"/>
    <w:rsid w:val="000334E3"/>
    <w:rsid w:val="00042A1B"/>
    <w:rsid w:val="0004438E"/>
    <w:rsid w:val="00045360"/>
    <w:rsid w:val="0005071F"/>
    <w:rsid w:val="000511C1"/>
    <w:rsid w:val="000561E1"/>
    <w:rsid w:val="00057206"/>
    <w:rsid w:val="000605FC"/>
    <w:rsid w:val="00062F64"/>
    <w:rsid w:val="00064735"/>
    <w:rsid w:val="00066DBE"/>
    <w:rsid w:val="000677C1"/>
    <w:rsid w:val="000816B7"/>
    <w:rsid w:val="00090F5C"/>
    <w:rsid w:val="00092E7A"/>
    <w:rsid w:val="00094A7F"/>
    <w:rsid w:val="00094F50"/>
    <w:rsid w:val="000A0E6C"/>
    <w:rsid w:val="000A287F"/>
    <w:rsid w:val="000A709E"/>
    <w:rsid w:val="000B2DE1"/>
    <w:rsid w:val="000B326C"/>
    <w:rsid w:val="000B72F5"/>
    <w:rsid w:val="000C2C49"/>
    <w:rsid w:val="000C3D26"/>
    <w:rsid w:val="000C7808"/>
    <w:rsid w:val="000D4071"/>
    <w:rsid w:val="000D429F"/>
    <w:rsid w:val="000D7A58"/>
    <w:rsid w:val="000E12DC"/>
    <w:rsid w:val="000E65F0"/>
    <w:rsid w:val="000F6BCE"/>
    <w:rsid w:val="00100DC0"/>
    <w:rsid w:val="001017FC"/>
    <w:rsid w:val="0010387E"/>
    <w:rsid w:val="00104FBC"/>
    <w:rsid w:val="00107F01"/>
    <w:rsid w:val="00113335"/>
    <w:rsid w:val="00114EE3"/>
    <w:rsid w:val="001376B7"/>
    <w:rsid w:val="00140927"/>
    <w:rsid w:val="00141CF4"/>
    <w:rsid w:val="0014266B"/>
    <w:rsid w:val="00142D96"/>
    <w:rsid w:val="00144AA7"/>
    <w:rsid w:val="0014569C"/>
    <w:rsid w:val="001456E1"/>
    <w:rsid w:val="00163410"/>
    <w:rsid w:val="00167C76"/>
    <w:rsid w:val="001700B8"/>
    <w:rsid w:val="001717FB"/>
    <w:rsid w:val="00171876"/>
    <w:rsid w:val="00174E64"/>
    <w:rsid w:val="001811D5"/>
    <w:rsid w:val="001850AF"/>
    <w:rsid w:val="001872E7"/>
    <w:rsid w:val="00192919"/>
    <w:rsid w:val="0019464E"/>
    <w:rsid w:val="00194F88"/>
    <w:rsid w:val="001A1142"/>
    <w:rsid w:val="001A4D73"/>
    <w:rsid w:val="001A730B"/>
    <w:rsid w:val="001A7C18"/>
    <w:rsid w:val="001B2C4F"/>
    <w:rsid w:val="001B31A2"/>
    <w:rsid w:val="001B67E5"/>
    <w:rsid w:val="001B7137"/>
    <w:rsid w:val="001C07D3"/>
    <w:rsid w:val="001C1ED8"/>
    <w:rsid w:val="001C1F43"/>
    <w:rsid w:val="001C4D64"/>
    <w:rsid w:val="001D1794"/>
    <w:rsid w:val="001D1DE1"/>
    <w:rsid w:val="001E2DE9"/>
    <w:rsid w:val="001E3DB0"/>
    <w:rsid w:val="001E56E2"/>
    <w:rsid w:val="001E751F"/>
    <w:rsid w:val="001F1F8A"/>
    <w:rsid w:val="001F3831"/>
    <w:rsid w:val="001F3C9E"/>
    <w:rsid w:val="001F51F0"/>
    <w:rsid w:val="001F58F2"/>
    <w:rsid w:val="00203704"/>
    <w:rsid w:val="00212F07"/>
    <w:rsid w:val="00220400"/>
    <w:rsid w:val="00220D0E"/>
    <w:rsid w:val="00221BD4"/>
    <w:rsid w:val="00225382"/>
    <w:rsid w:val="00232F1F"/>
    <w:rsid w:val="00233CD1"/>
    <w:rsid w:val="00234ADA"/>
    <w:rsid w:val="0023550B"/>
    <w:rsid w:val="00240549"/>
    <w:rsid w:val="00240F90"/>
    <w:rsid w:val="00245C0F"/>
    <w:rsid w:val="00250D1E"/>
    <w:rsid w:val="00265ACC"/>
    <w:rsid w:val="002713DA"/>
    <w:rsid w:val="00277F31"/>
    <w:rsid w:val="002823E1"/>
    <w:rsid w:val="00283795"/>
    <w:rsid w:val="00290552"/>
    <w:rsid w:val="00292BED"/>
    <w:rsid w:val="002A0469"/>
    <w:rsid w:val="002A418C"/>
    <w:rsid w:val="002A7FA3"/>
    <w:rsid w:val="002B0900"/>
    <w:rsid w:val="002B2BCF"/>
    <w:rsid w:val="002B4BE0"/>
    <w:rsid w:val="002C0AC1"/>
    <w:rsid w:val="002C2F07"/>
    <w:rsid w:val="002C3660"/>
    <w:rsid w:val="002E1198"/>
    <w:rsid w:val="002E2577"/>
    <w:rsid w:val="002F24CF"/>
    <w:rsid w:val="002F3847"/>
    <w:rsid w:val="00305E1A"/>
    <w:rsid w:val="00305EEF"/>
    <w:rsid w:val="00317627"/>
    <w:rsid w:val="0032059A"/>
    <w:rsid w:val="003217ED"/>
    <w:rsid w:val="0032243A"/>
    <w:rsid w:val="00324C36"/>
    <w:rsid w:val="00331F4B"/>
    <w:rsid w:val="003346A7"/>
    <w:rsid w:val="00334766"/>
    <w:rsid w:val="00334D77"/>
    <w:rsid w:val="00334E52"/>
    <w:rsid w:val="00335149"/>
    <w:rsid w:val="00337958"/>
    <w:rsid w:val="00341A3C"/>
    <w:rsid w:val="00342430"/>
    <w:rsid w:val="0035047D"/>
    <w:rsid w:val="00351564"/>
    <w:rsid w:val="00351D1C"/>
    <w:rsid w:val="00352900"/>
    <w:rsid w:val="00353B16"/>
    <w:rsid w:val="00353FDE"/>
    <w:rsid w:val="00361940"/>
    <w:rsid w:val="003628C1"/>
    <w:rsid w:val="0036396E"/>
    <w:rsid w:val="003640EF"/>
    <w:rsid w:val="003723BF"/>
    <w:rsid w:val="003831B4"/>
    <w:rsid w:val="00386A55"/>
    <w:rsid w:val="00394EB7"/>
    <w:rsid w:val="00396FBE"/>
    <w:rsid w:val="00397F24"/>
    <w:rsid w:val="003A08CC"/>
    <w:rsid w:val="003A0D29"/>
    <w:rsid w:val="003A2E1F"/>
    <w:rsid w:val="003A32DE"/>
    <w:rsid w:val="003A477C"/>
    <w:rsid w:val="003A61E3"/>
    <w:rsid w:val="003A78D8"/>
    <w:rsid w:val="003B18B8"/>
    <w:rsid w:val="003B3FE2"/>
    <w:rsid w:val="003D1889"/>
    <w:rsid w:val="003D759E"/>
    <w:rsid w:val="003E0039"/>
    <w:rsid w:val="003F440E"/>
    <w:rsid w:val="003F6C49"/>
    <w:rsid w:val="0040689E"/>
    <w:rsid w:val="0040690B"/>
    <w:rsid w:val="00406FFB"/>
    <w:rsid w:val="00415E77"/>
    <w:rsid w:val="004222CB"/>
    <w:rsid w:val="00427071"/>
    <w:rsid w:val="00427897"/>
    <w:rsid w:val="00427A8E"/>
    <w:rsid w:val="00430D76"/>
    <w:rsid w:val="00433AA8"/>
    <w:rsid w:val="004451F0"/>
    <w:rsid w:val="00446979"/>
    <w:rsid w:val="004501B0"/>
    <w:rsid w:val="004501CB"/>
    <w:rsid w:val="00452A61"/>
    <w:rsid w:val="004566CB"/>
    <w:rsid w:val="00456B93"/>
    <w:rsid w:val="00457EEF"/>
    <w:rsid w:val="00460BC1"/>
    <w:rsid w:val="00461668"/>
    <w:rsid w:val="00464DA5"/>
    <w:rsid w:val="00465158"/>
    <w:rsid w:val="00472B40"/>
    <w:rsid w:val="00474B39"/>
    <w:rsid w:val="00476647"/>
    <w:rsid w:val="004826A4"/>
    <w:rsid w:val="00491BCC"/>
    <w:rsid w:val="004A2117"/>
    <w:rsid w:val="004A37E5"/>
    <w:rsid w:val="004A7E5B"/>
    <w:rsid w:val="004B0E17"/>
    <w:rsid w:val="004B243C"/>
    <w:rsid w:val="004C1666"/>
    <w:rsid w:val="004C3DDA"/>
    <w:rsid w:val="004C76D6"/>
    <w:rsid w:val="004C76FC"/>
    <w:rsid w:val="004D1805"/>
    <w:rsid w:val="004D4070"/>
    <w:rsid w:val="004D59AD"/>
    <w:rsid w:val="004E189F"/>
    <w:rsid w:val="004E3961"/>
    <w:rsid w:val="004E3971"/>
    <w:rsid w:val="004E40BB"/>
    <w:rsid w:val="004F320F"/>
    <w:rsid w:val="004F4DCE"/>
    <w:rsid w:val="004F59E9"/>
    <w:rsid w:val="004F6797"/>
    <w:rsid w:val="004F73AC"/>
    <w:rsid w:val="00504838"/>
    <w:rsid w:val="00504CC6"/>
    <w:rsid w:val="00505864"/>
    <w:rsid w:val="00505922"/>
    <w:rsid w:val="00514B5E"/>
    <w:rsid w:val="005155C1"/>
    <w:rsid w:val="00516250"/>
    <w:rsid w:val="00522911"/>
    <w:rsid w:val="00535E80"/>
    <w:rsid w:val="00546587"/>
    <w:rsid w:val="00546B6B"/>
    <w:rsid w:val="00546E6D"/>
    <w:rsid w:val="0055475B"/>
    <w:rsid w:val="0055476E"/>
    <w:rsid w:val="005579F6"/>
    <w:rsid w:val="00560AFA"/>
    <w:rsid w:val="00571071"/>
    <w:rsid w:val="00571079"/>
    <w:rsid w:val="00573F23"/>
    <w:rsid w:val="00577425"/>
    <w:rsid w:val="00584255"/>
    <w:rsid w:val="00585285"/>
    <w:rsid w:val="00591B92"/>
    <w:rsid w:val="005A441D"/>
    <w:rsid w:val="005A5575"/>
    <w:rsid w:val="005A7A60"/>
    <w:rsid w:val="005B292A"/>
    <w:rsid w:val="005B6B34"/>
    <w:rsid w:val="005C00FF"/>
    <w:rsid w:val="005C52CF"/>
    <w:rsid w:val="005C70E4"/>
    <w:rsid w:val="005D0069"/>
    <w:rsid w:val="005D0BEE"/>
    <w:rsid w:val="005D265B"/>
    <w:rsid w:val="005D2E37"/>
    <w:rsid w:val="005E0761"/>
    <w:rsid w:val="005F31B6"/>
    <w:rsid w:val="0060327D"/>
    <w:rsid w:val="006110D7"/>
    <w:rsid w:val="00613719"/>
    <w:rsid w:val="00615688"/>
    <w:rsid w:val="006163E6"/>
    <w:rsid w:val="006223F8"/>
    <w:rsid w:val="00625410"/>
    <w:rsid w:val="00634C3A"/>
    <w:rsid w:val="00635DCD"/>
    <w:rsid w:val="0065095B"/>
    <w:rsid w:val="00650A5F"/>
    <w:rsid w:val="0065456E"/>
    <w:rsid w:val="0066225C"/>
    <w:rsid w:val="0066527F"/>
    <w:rsid w:val="006743D6"/>
    <w:rsid w:val="00687F3B"/>
    <w:rsid w:val="00691002"/>
    <w:rsid w:val="00692DBC"/>
    <w:rsid w:val="006935CA"/>
    <w:rsid w:val="00697935"/>
    <w:rsid w:val="006A2C7D"/>
    <w:rsid w:val="006A555B"/>
    <w:rsid w:val="006A5AE1"/>
    <w:rsid w:val="006A6FD4"/>
    <w:rsid w:val="006B15EF"/>
    <w:rsid w:val="006B19CD"/>
    <w:rsid w:val="006B4414"/>
    <w:rsid w:val="006B56D3"/>
    <w:rsid w:val="006C1F9B"/>
    <w:rsid w:val="006C38E5"/>
    <w:rsid w:val="006D44E0"/>
    <w:rsid w:val="006D4D04"/>
    <w:rsid w:val="006D7937"/>
    <w:rsid w:val="006E33B0"/>
    <w:rsid w:val="006E574D"/>
    <w:rsid w:val="006E721D"/>
    <w:rsid w:val="006E747B"/>
    <w:rsid w:val="006F27F3"/>
    <w:rsid w:val="006F62D3"/>
    <w:rsid w:val="006F68CA"/>
    <w:rsid w:val="006F727F"/>
    <w:rsid w:val="00700B5D"/>
    <w:rsid w:val="00702880"/>
    <w:rsid w:val="00703CF7"/>
    <w:rsid w:val="00704EA3"/>
    <w:rsid w:val="00706D56"/>
    <w:rsid w:val="00711B37"/>
    <w:rsid w:val="007136F8"/>
    <w:rsid w:val="00714C67"/>
    <w:rsid w:val="00715CC4"/>
    <w:rsid w:val="00715D8A"/>
    <w:rsid w:val="0071687C"/>
    <w:rsid w:val="00725CE5"/>
    <w:rsid w:val="00740F1A"/>
    <w:rsid w:val="00744E85"/>
    <w:rsid w:val="007459BE"/>
    <w:rsid w:val="00750E2A"/>
    <w:rsid w:val="0075649E"/>
    <w:rsid w:val="00756802"/>
    <w:rsid w:val="00767B9E"/>
    <w:rsid w:val="00772986"/>
    <w:rsid w:val="00772D64"/>
    <w:rsid w:val="00772E12"/>
    <w:rsid w:val="00772E59"/>
    <w:rsid w:val="007772EA"/>
    <w:rsid w:val="007842EE"/>
    <w:rsid w:val="007900BC"/>
    <w:rsid w:val="007905BC"/>
    <w:rsid w:val="007928A1"/>
    <w:rsid w:val="00796205"/>
    <w:rsid w:val="007A0996"/>
    <w:rsid w:val="007A1155"/>
    <w:rsid w:val="007A3147"/>
    <w:rsid w:val="007A589E"/>
    <w:rsid w:val="007A7AD3"/>
    <w:rsid w:val="007B3E68"/>
    <w:rsid w:val="007C281F"/>
    <w:rsid w:val="007D0676"/>
    <w:rsid w:val="007D07CE"/>
    <w:rsid w:val="007D647D"/>
    <w:rsid w:val="007E17F8"/>
    <w:rsid w:val="007E7345"/>
    <w:rsid w:val="007F155F"/>
    <w:rsid w:val="007F2A9D"/>
    <w:rsid w:val="007F3924"/>
    <w:rsid w:val="007F723D"/>
    <w:rsid w:val="007F73B9"/>
    <w:rsid w:val="00801FE8"/>
    <w:rsid w:val="00805CA4"/>
    <w:rsid w:val="00811683"/>
    <w:rsid w:val="00813C67"/>
    <w:rsid w:val="008203C2"/>
    <w:rsid w:val="00821B63"/>
    <w:rsid w:val="0082354D"/>
    <w:rsid w:val="00825A2B"/>
    <w:rsid w:val="0083071C"/>
    <w:rsid w:val="00830A74"/>
    <w:rsid w:val="00831379"/>
    <w:rsid w:val="0083744C"/>
    <w:rsid w:val="00837C36"/>
    <w:rsid w:val="00841862"/>
    <w:rsid w:val="00843851"/>
    <w:rsid w:val="00843F05"/>
    <w:rsid w:val="008471E3"/>
    <w:rsid w:val="0085310E"/>
    <w:rsid w:val="00855E36"/>
    <w:rsid w:val="008642DC"/>
    <w:rsid w:val="00867798"/>
    <w:rsid w:val="00873E2C"/>
    <w:rsid w:val="00876443"/>
    <w:rsid w:val="00880EA8"/>
    <w:rsid w:val="00890D64"/>
    <w:rsid w:val="00895318"/>
    <w:rsid w:val="008A16FA"/>
    <w:rsid w:val="008A360D"/>
    <w:rsid w:val="008A591E"/>
    <w:rsid w:val="008B1888"/>
    <w:rsid w:val="008B23C0"/>
    <w:rsid w:val="008B296F"/>
    <w:rsid w:val="008B5B2D"/>
    <w:rsid w:val="008C178E"/>
    <w:rsid w:val="008C24EC"/>
    <w:rsid w:val="008C471B"/>
    <w:rsid w:val="008C586A"/>
    <w:rsid w:val="008C64DC"/>
    <w:rsid w:val="008E072F"/>
    <w:rsid w:val="008E3FF7"/>
    <w:rsid w:val="008E529C"/>
    <w:rsid w:val="008E6CFD"/>
    <w:rsid w:val="008E6E72"/>
    <w:rsid w:val="008F0046"/>
    <w:rsid w:val="008F2851"/>
    <w:rsid w:val="008F47DF"/>
    <w:rsid w:val="008F5BA0"/>
    <w:rsid w:val="008F6AD5"/>
    <w:rsid w:val="0090282D"/>
    <w:rsid w:val="00903AC1"/>
    <w:rsid w:val="00906BD1"/>
    <w:rsid w:val="00912E95"/>
    <w:rsid w:val="00914819"/>
    <w:rsid w:val="00916498"/>
    <w:rsid w:val="009222CA"/>
    <w:rsid w:val="009235BB"/>
    <w:rsid w:val="00923FC3"/>
    <w:rsid w:val="009248B2"/>
    <w:rsid w:val="00942AC1"/>
    <w:rsid w:val="00943522"/>
    <w:rsid w:val="00945B7A"/>
    <w:rsid w:val="009476E0"/>
    <w:rsid w:val="00952601"/>
    <w:rsid w:val="009562D9"/>
    <w:rsid w:val="00957337"/>
    <w:rsid w:val="0095734F"/>
    <w:rsid w:val="00960FE3"/>
    <w:rsid w:val="00963C00"/>
    <w:rsid w:val="009725A2"/>
    <w:rsid w:val="0097483E"/>
    <w:rsid w:val="00977A1A"/>
    <w:rsid w:val="0098124E"/>
    <w:rsid w:val="0098179E"/>
    <w:rsid w:val="00984C46"/>
    <w:rsid w:val="009915C2"/>
    <w:rsid w:val="00991990"/>
    <w:rsid w:val="009A3C1B"/>
    <w:rsid w:val="009B0C74"/>
    <w:rsid w:val="009B1067"/>
    <w:rsid w:val="009B1173"/>
    <w:rsid w:val="009B3602"/>
    <w:rsid w:val="009B3D16"/>
    <w:rsid w:val="009B5BFE"/>
    <w:rsid w:val="009B68D2"/>
    <w:rsid w:val="009B7EBE"/>
    <w:rsid w:val="009C2F74"/>
    <w:rsid w:val="009C7947"/>
    <w:rsid w:val="009D553E"/>
    <w:rsid w:val="009D6752"/>
    <w:rsid w:val="009E1E1A"/>
    <w:rsid w:val="009E606B"/>
    <w:rsid w:val="009F2D01"/>
    <w:rsid w:val="009F2D39"/>
    <w:rsid w:val="009F4C90"/>
    <w:rsid w:val="00A05FE0"/>
    <w:rsid w:val="00A12062"/>
    <w:rsid w:val="00A13269"/>
    <w:rsid w:val="00A14862"/>
    <w:rsid w:val="00A215F2"/>
    <w:rsid w:val="00A23212"/>
    <w:rsid w:val="00A2565D"/>
    <w:rsid w:val="00A25F5E"/>
    <w:rsid w:val="00A270C7"/>
    <w:rsid w:val="00A447EE"/>
    <w:rsid w:val="00A46457"/>
    <w:rsid w:val="00A51202"/>
    <w:rsid w:val="00A54520"/>
    <w:rsid w:val="00A55F19"/>
    <w:rsid w:val="00A563D9"/>
    <w:rsid w:val="00A60D01"/>
    <w:rsid w:val="00A62BE2"/>
    <w:rsid w:val="00A63631"/>
    <w:rsid w:val="00A66B36"/>
    <w:rsid w:val="00A7308D"/>
    <w:rsid w:val="00A74119"/>
    <w:rsid w:val="00A7456D"/>
    <w:rsid w:val="00A74DB7"/>
    <w:rsid w:val="00A80C50"/>
    <w:rsid w:val="00A817D0"/>
    <w:rsid w:val="00A849F2"/>
    <w:rsid w:val="00A853DF"/>
    <w:rsid w:val="00A87CB7"/>
    <w:rsid w:val="00A94D24"/>
    <w:rsid w:val="00A96113"/>
    <w:rsid w:val="00A9729E"/>
    <w:rsid w:val="00AA22DC"/>
    <w:rsid w:val="00AA4907"/>
    <w:rsid w:val="00AA79FD"/>
    <w:rsid w:val="00AB0A51"/>
    <w:rsid w:val="00AB1117"/>
    <w:rsid w:val="00AB544B"/>
    <w:rsid w:val="00AC2D24"/>
    <w:rsid w:val="00AC6050"/>
    <w:rsid w:val="00AC66D0"/>
    <w:rsid w:val="00AC687F"/>
    <w:rsid w:val="00AD230E"/>
    <w:rsid w:val="00AD4A08"/>
    <w:rsid w:val="00AD56E0"/>
    <w:rsid w:val="00AD76F4"/>
    <w:rsid w:val="00AE028D"/>
    <w:rsid w:val="00AE26E0"/>
    <w:rsid w:val="00AE3A9C"/>
    <w:rsid w:val="00AF09A0"/>
    <w:rsid w:val="00AF38BB"/>
    <w:rsid w:val="00AF46EC"/>
    <w:rsid w:val="00AF5617"/>
    <w:rsid w:val="00AF6954"/>
    <w:rsid w:val="00AF6E25"/>
    <w:rsid w:val="00AF6FF6"/>
    <w:rsid w:val="00AF7C62"/>
    <w:rsid w:val="00B0033A"/>
    <w:rsid w:val="00B011E5"/>
    <w:rsid w:val="00B027EF"/>
    <w:rsid w:val="00B05303"/>
    <w:rsid w:val="00B111F0"/>
    <w:rsid w:val="00B117C3"/>
    <w:rsid w:val="00B11DAF"/>
    <w:rsid w:val="00B24006"/>
    <w:rsid w:val="00B26346"/>
    <w:rsid w:val="00B342E4"/>
    <w:rsid w:val="00B37B5D"/>
    <w:rsid w:val="00B4390E"/>
    <w:rsid w:val="00B475E9"/>
    <w:rsid w:val="00B50B3C"/>
    <w:rsid w:val="00B51757"/>
    <w:rsid w:val="00B5560C"/>
    <w:rsid w:val="00B57124"/>
    <w:rsid w:val="00B61CB8"/>
    <w:rsid w:val="00B65C06"/>
    <w:rsid w:val="00B6794F"/>
    <w:rsid w:val="00B72AA9"/>
    <w:rsid w:val="00B82CA2"/>
    <w:rsid w:val="00B83B1C"/>
    <w:rsid w:val="00B84861"/>
    <w:rsid w:val="00B92626"/>
    <w:rsid w:val="00B97824"/>
    <w:rsid w:val="00BA0104"/>
    <w:rsid w:val="00BA7974"/>
    <w:rsid w:val="00BA7A91"/>
    <w:rsid w:val="00BB21D5"/>
    <w:rsid w:val="00BB5A8A"/>
    <w:rsid w:val="00BB719D"/>
    <w:rsid w:val="00BC1D1D"/>
    <w:rsid w:val="00BC6755"/>
    <w:rsid w:val="00BC6AE4"/>
    <w:rsid w:val="00BC6D17"/>
    <w:rsid w:val="00BC7052"/>
    <w:rsid w:val="00BC7074"/>
    <w:rsid w:val="00BC7C3A"/>
    <w:rsid w:val="00BD5433"/>
    <w:rsid w:val="00BD67CF"/>
    <w:rsid w:val="00BE11B7"/>
    <w:rsid w:val="00BE4900"/>
    <w:rsid w:val="00BF5F74"/>
    <w:rsid w:val="00C01368"/>
    <w:rsid w:val="00C05C07"/>
    <w:rsid w:val="00C0736B"/>
    <w:rsid w:val="00C13407"/>
    <w:rsid w:val="00C17B70"/>
    <w:rsid w:val="00C267BF"/>
    <w:rsid w:val="00C341AC"/>
    <w:rsid w:val="00C3491A"/>
    <w:rsid w:val="00C3694B"/>
    <w:rsid w:val="00C36C35"/>
    <w:rsid w:val="00C41D9A"/>
    <w:rsid w:val="00C4286D"/>
    <w:rsid w:val="00C42E1E"/>
    <w:rsid w:val="00C5378A"/>
    <w:rsid w:val="00C54465"/>
    <w:rsid w:val="00C575C8"/>
    <w:rsid w:val="00C61B60"/>
    <w:rsid w:val="00C65C75"/>
    <w:rsid w:val="00C66AAD"/>
    <w:rsid w:val="00C70093"/>
    <w:rsid w:val="00C70429"/>
    <w:rsid w:val="00C7376F"/>
    <w:rsid w:val="00C74BA7"/>
    <w:rsid w:val="00C750CB"/>
    <w:rsid w:val="00C802F9"/>
    <w:rsid w:val="00C81297"/>
    <w:rsid w:val="00C867A9"/>
    <w:rsid w:val="00C911F1"/>
    <w:rsid w:val="00C913FF"/>
    <w:rsid w:val="00C914F6"/>
    <w:rsid w:val="00C917D3"/>
    <w:rsid w:val="00C945E1"/>
    <w:rsid w:val="00C94983"/>
    <w:rsid w:val="00C953E1"/>
    <w:rsid w:val="00CA1258"/>
    <w:rsid w:val="00CA501B"/>
    <w:rsid w:val="00CA6949"/>
    <w:rsid w:val="00CB0408"/>
    <w:rsid w:val="00CB111A"/>
    <w:rsid w:val="00CB35BB"/>
    <w:rsid w:val="00CC30E9"/>
    <w:rsid w:val="00CC5244"/>
    <w:rsid w:val="00CD29E2"/>
    <w:rsid w:val="00CD3361"/>
    <w:rsid w:val="00CD601F"/>
    <w:rsid w:val="00CE0D8E"/>
    <w:rsid w:val="00CE4157"/>
    <w:rsid w:val="00CE7D15"/>
    <w:rsid w:val="00CF6269"/>
    <w:rsid w:val="00D0645E"/>
    <w:rsid w:val="00D0742D"/>
    <w:rsid w:val="00D07B79"/>
    <w:rsid w:val="00D11CF8"/>
    <w:rsid w:val="00D12A67"/>
    <w:rsid w:val="00D23E8C"/>
    <w:rsid w:val="00D27F88"/>
    <w:rsid w:val="00D31D74"/>
    <w:rsid w:val="00D33B0D"/>
    <w:rsid w:val="00D3441E"/>
    <w:rsid w:val="00D35401"/>
    <w:rsid w:val="00D4239D"/>
    <w:rsid w:val="00D4327D"/>
    <w:rsid w:val="00D46B85"/>
    <w:rsid w:val="00D50E1C"/>
    <w:rsid w:val="00D52206"/>
    <w:rsid w:val="00D556DA"/>
    <w:rsid w:val="00D74CF2"/>
    <w:rsid w:val="00D7663B"/>
    <w:rsid w:val="00D77128"/>
    <w:rsid w:val="00D8585F"/>
    <w:rsid w:val="00D900BB"/>
    <w:rsid w:val="00DA098E"/>
    <w:rsid w:val="00DA3F4F"/>
    <w:rsid w:val="00DA483B"/>
    <w:rsid w:val="00DB1FE5"/>
    <w:rsid w:val="00DB2FE3"/>
    <w:rsid w:val="00DB4F86"/>
    <w:rsid w:val="00DB667F"/>
    <w:rsid w:val="00DC13AC"/>
    <w:rsid w:val="00DC59B4"/>
    <w:rsid w:val="00DC5CD8"/>
    <w:rsid w:val="00DC65DE"/>
    <w:rsid w:val="00DD0FBE"/>
    <w:rsid w:val="00DD1BCE"/>
    <w:rsid w:val="00DD4301"/>
    <w:rsid w:val="00DD52E1"/>
    <w:rsid w:val="00DD5C76"/>
    <w:rsid w:val="00DD5F4E"/>
    <w:rsid w:val="00DE09EA"/>
    <w:rsid w:val="00DE643D"/>
    <w:rsid w:val="00DF14E0"/>
    <w:rsid w:val="00DF2EA3"/>
    <w:rsid w:val="00E05E7B"/>
    <w:rsid w:val="00E1333C"/>
    <w:rsid w:val="00E13B76"/>
    <w:rsid w:val="00E14740"/>
    <w:rsid w:val="00E200A3"/>
    <w:rsid w:val="00E20D58"/>
    <w:rsid w:val="00E2523D"/>
    <w:rsid w:val="00E26A3A"/>
    <w:rsid w:val="00E26E27"/>
    <w:rsid w:val="00E30292"/>
    <w:rsid w:val="00E326CC"/>
    <w:rsid w:val="00E3518C"/>
    <w:rsid w:val="00E35A42"/>
    <w:rsid w:val="00E45863"/>
    <w:rsid w:val="00E52F63"/>
    <w:rsid w:val="00E54440"/>
    <w:rsid w:val="00E57872"/>
    <w:rsid w:val="00E57C04"/>
    <w:rsid w:val="00E6107E"/>
    <w:rsid w:val="00E61111"/>
    <w:rsid w:val="00E615EE"/>
    <w:rsid w:val="00E61DE7"/>
    <w:rsid w:val="00E714A0"/>
    <w:rsid w:val="00E73FC4"/>
    <w:rsid w:val="00E77AD0"/>
    <w:rsid w:val="00E834AE"/>
    <w:rsid w:val="00E8717C"/>
    <w:rsid w:val="00E9024E"/>
    <w:rsid w:val="00E913F1"/>
    <w:rsid w:val="00E9706F"/>
    <w:rsid w:val="00EA5041"/>
    <w:rsid w:val="00EA616D"/>
    <w:rsid w:val="00EB2044"/>
    <w:rsid w:val="00EB2741"/>
    <w:rsid w:val="00EB2EC0"/>
    <w:rsid w:val="00EB3A5E"/>
    <w:rsid w:val="00EB3ED2"/>
    <w:rsid w:val="00EB5727"/>
    <w:rsid w:val="00EB7A23"/>
    <w:rsid w:val="00EC048F"/>
    <w:rsid w:val="00EC26C6"/>
    <w:rsid w:val="00EC5309"/>
    <w:rsid w:val="00ED2F02"/>
    <w:rsid w:val="00ED547D"/>
    <w:rsid w:val="00EE0B35"/>
    <w:rsid w:val="00EE0C8D"/>
    <w:rsid w:val="00EE0CAD"/>
    <w:rsid w:val="00EE1392"/>
    <w:rsid w:val="00EE1AFC"/>
    <w:rsid w:val="00EE3F9C"/>
    <w:rsid w:val="00EF1CE3"/>
    <w:rsid w:val="00EF568B"/>
    <w:rsid w:val="00EF5CC4"/>
    <w:rsid w:val="00EF5FC6"/>
    <w:rsid w:val="00EF6E26"/>
    <w:rsid w:val="00EF73DD"/>
    <w:rsid w:val="00F05482"/>
    <w:rsid w:val="00F06274"/>
    <w:rsid w:val="00F06C8E"/>
    <w:rsid w:val="00F1280D"/>
    <w:rsid w:val="00F3084E"/>
    <w:rsid w:val="00F31366"/>
    <w:rsid w:val="00F36544"/>
    <w:rsid w:val="00F36A3C"/>
    <w:rsid w:val="00F436AB"/>
    <w:rsid w:val="00F438FE"/>
    <w:rsid w:val="00F52535"/>
    <w:rsid w:val="00F52652"/>
    <w:rsid w:val="00F53FAD"/>
    <w:rsid w:val="00F5555E"/>
    <w:rsid w:val="00F557C7"/>
    <w:rsid w:val="00F57216"/>
    <w:rsid w:val="00F57F56"/>
    <w:rsid w:val="00F62D01"/>
    <w:rsid w:val="00F639AC"/>
    <w:rsid w:val="00F63FC8"/>
    <w:rsid w:val="00F72CD5"/>
    <w:rsid w:val="00F7377F"/>
    <w:rsid w:val="00F754CB"/>
    <w:rsid w:val="00F7621C"/>
    <w:rsid w:val="00F762D4"/>
    <w:rsid w:val="00F76A01"/>
    <w:rsid w:val="00F844DF"/>
    <w:rsid w:val="00F844F2"/>
    <w:rsid w:val="00F86F33"/>
    <w:rsid w:val="00F92480"/>
    <w:rsid w:val="00F954C0"/>
    <w:rsid w:val="00F95E9A"/>
    <w:rsid w:val="00FB1B30"/>
    <w:rsid w:val="00FB2B37"/>
    <w:rsid w:val="00FC3D2F"/>
    <w:rsid w:val="00FD03AB"/>
    <w:rsid w:val="00FD36E0"/>
    <w:rsid w:val="00FD3B81"/>
    <w:rsid w:val="00FD3EA3"/>
    <w:rsid w:val="00FE504B"/>
    <w:rsid w:val="00FF0319"/>
    <w:rsid w:val="00FF0D44"/>
    <w:rsid w:val="00FF3296"/>
    <w:rsid w:val="00FF413C"/>
    <w:rsid w:val="00FF7052"/>
    <w:rsid w:val="076A1439"/>
    <w:rsid w:val="4EFD2F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924F5"/>
  <w15:docId w15:val="{415B58E7-C86B-8F42-8E80-D7C38E41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76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right" w:pos="9020"/>
      </w:tabs>
    </w:pPr>
    <w:rPr>
      <w:rFonts w:ascii="Helvetica" w:hAnsi="Arial Unicode MS" w:cs="Arial Unicode MS"/>
      <w:color w:val="000000"/>
      <w:sz w:val="24"/>
      <w:szCs w:val="24"/>
    </w:rPr>
  </w:style>
  <w:style w:type="paragraph" w:customStyle="1" w:styleId="Corps">
    <w:name w:val="Corps"/>
    <w:rPr>
      <w:rFonts w:ascii="Helvetica" w:hAnsi="Arial Unicode MS" w:cs="Arial Unicode MS"/>
      <w:color w:val="000000"/>
      <w:sz w:val="22"/>
      <w:szCs w:val="22"/>
    </w:rPr>
  </w:style>
  <w:style w:type="paragraph" w:customStyle="1" w:styleId="tiquetteFonc">
    <w:name w:val="Étiquette Foncé"/>
    <w:pPr>
      <w:jc w:val="center"/>
    </w:pPr>
    <w:rPr>
      <w:rFonts w:ascii="Helvetica Light" w:hAnsi="Arial Unicode MS" w:cs="Arial Unicode MS"/>
      <w:color w:val="000000"/>
      <w:sz w:val="24"/>
      <w:szCs w:val="24"/>
    </w:rPr>
  </w:style>
  <w:style w:type="character" w:customStyle="1" w:styleId="Lien">
    <w:name w:val="Lien"/>
    <w:rPr>
      <w:u w:val="single"/>
    </w:rPr>
  </w:style>
  <w:style w:type="character" w:customStyle="1" w:styleId="Hyperlink0">
    <w:name w:val="Hyperlink.0"/>
    <w:basedOn w:val="Lien"/>
    <w:rPr>
      <w:u w:val="none"/>
    </w:rPr>
  </w:style>
  <w:style w:type="numbering" w:customStyle="1" w:styleId="List0">
    <w:name w:val="List 0"/>
    <w:basedOn w:val="Aucun"/>
    <w:pPr>
      <w:numPr>
        <w:numId w:val="1"/>
      </w:numPr>
    </w:pPr>
  </w:style>
  <w:style w:type="numbering" w:customStyle="1" w:styleId="Aucun">
    <w:name w:val="Aucun"/>
  </w:style>
  <w:style w:type="numbering" w:customStyle="1" w:styleId="List1">
    <w:name w:val="List 1"/>
    <w:basedOn w:val="Aucun"/>
    <w:pPr>
      <w:numPr>
        <w:numId w:val="3"/>
      </w:numPr>
    </w:pPr>
  </w:style>
  <w:style w:type="numbering" w:customStyle="1" w:styleId="Liste21">
    <w:name w:val="Liste 21"/>
    <w:basedOn w:val="Aucun"/>
    <w:pPr>
      <w:numPr>
        <w:numId w:val="2"/>
      </w:numPr>
    </w:pPr>
  </w:style>
  <w:style w:type="numbering" w:customStyle="1" w:styleId="Liste31">
    <w:name w:val="Liste 31"/>
    <w:basedOn w:val="Aucun"/>
    <w:pPr>
      <w:numPr>
        <w:numId w:val="4"/>
      </w:numPr>
    </w:pPr>
  </w:style>
  <w:style w:type="numbering" w:customStyle="1" w:styleId="Liste41">
    <w:name w:val="Liste 41"/>
    <w:basedOn w:val="Aucun"/>
    <w:pPr>
      <w:numPr>
        <w:numId w:val="7"/>
      </w:numPr>
    </w:pPr>
  </w:style>
  <w:style w:type="numbering" w:customStyle="1" w:styleId="Liste51">
    <w:name w:val="Liste 51"/>
    <w:basedOn w:val="Aucun"/>
    <w:pPr>
      <w:numPr>
        <w:numId w:val="6"/>
      </w:numPr>
    </w:pPr>
  </w:style>
  <w:style w:type="character" w:customStyle="1" w:styleId="Hyperlink1">
    <w:name w:val="Hyperlink.1"/>
    <w:basedOn w:val="Lien"/>
    <w:rPr>
      <w:b/>
      <w:bCs/>
      <w:color w:val="E7211D"/>
      <w:u w:val="single"/>
    </w:rPr>
  </w:style>
  <w:style w:type="numbering" w:customStyle="1" w:styleId="List6">
    <w:name w:val="List 6"/>
    <w:basedOn w:val="Tiret"/>
    <w:pPr>
      <w:numPr>
        <w:numId w:val="5"/>
      </w:numPr>
    </w:pPr>
  </w:style>
  <w:style w:type="numbering" w:customStyle="1" w:styleId="Tiret">
    <w:name w:val="Tiret"/>
  </w:style>
  <w:style w:type="numbering" w:customStyle="1" w:styleId="List7">
    <w:name w:val="List 7"/>
    <w:basedOn w:val="Aucun"/>
    <w:pPr>
      <w:numPr>
        <w:numId w:val="8"/>
      </w:numPr>
    </w:pPr>
  </w:style>
  <w:style w:type="paragraph" w:styleId="Paragraphedeliste">
    <w:name w:val="List Paragraph"/>
    <w:basedOn w:val="Normal"/>
    <w:uiPriority w:val="34"/>
    <w:qFormat/>
    <w:rsid w:val="003A32DE"/>
    <w:pPr>
      <w:pBdr>
        <w:top w:val="nil"/>
        <w:left w:val="nil"/>
        <w:bottom w:val="nil"/>
        <w:right w:val="nil"/>
        <w:between w:val="nil"/>
        <w:bar w:val="nil"/>
      </w:pBdr>
      <w:ind w:left="720"/>
      <w:contextualSpacing/>
    </w:pPr>
    <w:rPr>
      <w:rFonts w:eastAsia="Arial Unicode MS"/>
      <w:bdr w:val="nil"/>
      <w:lang w:val="en-US" w:eastAsia="en-US"/>
    </w:rPr>
  </w:style>
  <w:style w:type="paragraph" w:styleId="Pieddepage">
    <w:name w:val="footer"/>
    <w:basedOn w:val="Normal"/>
    <w:link w:val="PieddepageCar"/>
    <w:uiPriority w:val="99"/>
    <w:unhideWhenUsed/>
    <w:rsid w:val="003A477C"/>
    <w:pPr>
      <w:pBdr>
        <w:top w:val="nil"/>
        <w:left w:val="nil"/>
        <w:bottom w:val="nil"/>
        <w:right w:val="nil"/>
        <w:between w:val="nil"/>
        <w:bar w:val="nil"/>
      </w:pBdr>
      <w:tabs>
        <w:tab w:val="center" w:pos="4536"/>
        <w:tab w:val="right" w:pos="9072"/>
      </w:tabs>
    </w:pPr>
    <w:rPr>
      <w:rFonts w:eastAsia="Arial Unicode MS"/>
      <w:bdr w:val="nil"/>
      <w:lang w:val="en-US" w:eastAsia="en-US"/>
    </w:rPr>
  </w:style>
  <w:style w:type="character" w:customStyle="1" w:styleId="PieddepageCar">
    <w:name w:val="Pied de page Car"/>
    <w:basedOn w:val="Policepardfaut"/>
    <w:link w:val="Pieddepage"/>
    <w:uiPriority w:val="99"/>
    <w:rsid w:val="003A477C"/>
    <w:rPr>
      <w:sz w:val="24"/>
      <w:szCs w:val="24"/>
      <w:lang w:val="en-US" w:eastAsia="en-US"/>
    </w:rPr>
  </w:style>
  <w:style w:type="character" w:customStyle="1" w:styleId="Mentionnonrsolue1">
    <w:name w:val="Mention non résolue1"/>
    <w:basedOn w:val="Policepardfaut"/>
    <w:uiPriority w:val="99"/>
    <w:semiHidden/>
    <w:unhideWhenUsed/>
    <w:rsid w:val="002C2F07"/>
    <w:rPr>
      <w:color w:val="605E5C"/>
      <w:shd w:val="clear" w:color="auto" w:fill="E1DFDD"/>
    </w:rPr>
  </w:style>
  <w:style w:type="character" w:customStyle="1" w:styleId="En-tteCar">
    <w:name w:val="En-tête Car"/>
    <w:basedOn w:val="Policepardfaut"/>
    <w:link w:val="En-tte"/>
    <w:rsid w:val="00C750CB"/>
    <w:rPr>
      <w:rFonts w:ascii="Helvetica" w:hAnsi="Arial Unicode MS" w:cs="Arial Unicode MS"/>
      <w:color w:val="000000"/>
      <w:sz w:val="24"/>
      <w:szCs w:val="24"/>
    </w:rPr>
  </w:style>
  <w:style w:type="table" w:styleId="Grilledutableau">
    <w:name w:val="Table Grid"/>
    <w:basedOn w:val="TableauNormal"/>
    <w:uiPriority w:val="39"/>
    <w:rsid w:val="00225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45C0F"/>
    <w:rPr>
      <w:sz w:val="16"/>
      <w:szCs w:val="16"/>
    </w:rPr>
  </w:style>
  <w:style w:type="paragraph" w:styleId="Commentaire">
    <w:name w:val="annotation text"/>
    <w:basedOn w:val="Normal"/>
    <w:link w:val="CommentaireCar"/>
    <w:uiPriority w:val="99"/>
    <w:semiHidden/>
    <w:unhideWhenUsed/>
    <w:rsid w:val="00245C0F"/>
    <w:rPr>
      <w:sz w:val="20"/>
      <w:szCs w:val="20"/>
    </w:rPr>
  </w:style>
  <w:style w:type="character" w:customStyle="1" w:styleId="CommentaireCar">
    <w:name w:val="Commentaire Car"/>
    <w:basedOn w:val="Policepardfaut"/>
    <w:link w:val="Commentaire"/>
    <w:uiPriority w:val="99"/>
    <w:semiHidden/>
    <w:rsid w:val="00245C0F"/>
    <w:rPr>
      <w:rFonts w:eastAsia="Times New Roman"/>
      <w:bdr w:val="none" w:sz="0" w:space="0" w:color="auto"/>
    </w:rPr>
  </w:style>
  <w:style w:type="paragraph" w:styleId="Textedebulles">
    <w:name w:val="Balloon Text"/>
    <w:basedOn w:val="Normal"/>
    <w:link w:val="TextedebullesCar"/>
    <w:uiPriority w:val="99"/>
    <w:semiHidden/>
    <w:unhideWhenUsed/>
    <w:rsid w:val="00245C0F"/>
    <w:rPr>
      <w:sz w:val="18"/>
      <w:szCs w:val="18"/>
    </w:rPr>
  </w:style>
  <w:style w:type="character" w:customStyle="1" w:styleId="TextedebullesCar">
    <w:name w:val="Texte de bulles Car"/>
    <w:basedOn w:val="Policepardfaut"/>
    <w:link w:val="Textedebulles"/>
    <w:uiPriority w:val="99"/>
    <w:semiHidden/>
    <w:rsid w:val="00245C0F"/>
    <w:rPr>
      <w:sz w:val="18"/>
      <w:szCs w:val="18"/>
      <w:lang w:val="en-US" w:eastAsia="en-US"/>
    </w:rPr>
  </w:style>
  <w:style w:type="paragraph" w:styleId="Objetducommentaire">
    <w:name w:val="annotation subject"/>
    <w:basedOn w:val="Commentaire"/>
    <w:next w:val="Commentaire"/>
    <w:link w:val="ObjetducommentaireCar"/>
    <w:uiPriority w:val="99"/>
    <w:semiHidden/>
    <w:unhideWhenUsed/>
    <w:rsid w:val="007772EA"/>
    <w:pPr>
      <w:pBdr>
        <w:top w:val="nil"/>
        <w:left w:val="nil"/>
        <w:bottom w:val="nil"/>
        <w:right w:val="nil"/>
        <w:between w:val="nil"/>
        <w:bar w:val="nil"/>
      </w:pBdr>
    </w:pPr>
    <w:rPr>
      <w:rFonts w:eastAsia="Arial Unicode MS"/>
      <w:b/>
      <w:bCs/>
      <w:bdr w:val="nil"/>
      <w:lang w:val="en-US" w:eastAsia="en-US"/>
    </w:rPr>
  </w:style>
  <w:style w:type="character" w:customStyle="1" w:styleId="ObjetducommentaireCar">
    <w:name w:val="Objet du commentaire Car"/>
    <w:basedOn w:val="CommentaireCar"/>
    <w:link w:val="Objetducommentaire"/>
    <w:uiPriority w:val="99"/>
    <w:semiHidden/>
    <w:rsid w:val="007772EA"/>
    <w:rPr>
      <w:rFonts w:eastAsia="Times New Roman"/>
      <w:b/>
      <w:bCs/>
      <w:bdr w:val="none" w:sz="0" w:space="0" w:color="auto"/>
      <w:lang w:val="en-US" w:eastAsia="en-US"/>
    </w:rPr>
  </w:style>
  <w:style w:type="character" w:styleId="Numrodepage">
    <w:name w:val="page number"/>
    <w:basedOn w:val="Policepardfaut"/>
    <w:rsid w:val="00505922"/>
  </w:style>
  <w:style w:type="paragraph" w:styleId="Listepuces">
    <w:name w:val="List Bullet"/>
    <w:basedOn w:val="Normal"/>
    <w:uiPriority w:val="99"/>
    <w:unhideWhenUsed/>
    <w:rsid w:val="0098179E"/>
    <w:pPr>
      <w:numPr>
        <w:numId w:val="9"/>
      </w:numPr>
      <w:pBdr>
        <w:top w:val="nil"/>
        <w:left w:val="nil"/>
        <w:bottom w:val="nil"/>
        <w:right w:val="nil"/>
        <w:between w:val="nil"/>
        <w:bar w:val="nil"/>
      </w:pBdr>
      <w:contextualSpacing/>
    </w:pPr>
    <w:rPr>
      <w:rFonts w:eastAsia="Arial Unicode MS"/>
      <w:bdr w:val="nil"/>
      <w:lang w:val="en-US" w:eastAsia="en-US"/>
    </w:rPr>
  </w:style>
  <w:style w:type="paragraph" w:styleId="Sansinterligne">
    <w:name w:val="No Spacing"/>
    <w:uiPriority w:val="1"/>
    <w:qFormat/>
    <w:rsid w:val="00706D56"/>
    <w:rPr>
      <w:sz w:val="24"/>
      <w:szCs w:val="24"/>
      <w:lang w:val="en-US" w:eastAsia="en-US"/>
    </w:rPr>
  </w:style>
  <w:style w:type="character" w:customStyle="1" w:styleId="apple-converted-space">
    <w:name w:val="apple-converted-space"/>
    <w:basedOn w:val="Policepardfaut"/>
    <w:rsid w:val="00A60D01"/>
  </w:style>
  <w:style w:type="character" w:customStyle="1" w:styleId="Mentionnonrsolue2">
    <w:name w:val="Mention non résolue2"/>
    <w:basedOn w:val="Policepardfaut"/>
    <w:uiPriority w:val="99"/>
    <w:semiHidden/>
    <w:unhideWhenUsed/>
    <w:rsid w:val="000A287F"/>
    <w:rPr>
      <w:color w:val="605E5C"/>
      <w:shd w:val="clear" w:color="auto" w:fill="E1DFDD"/>
    </w:rPr>
  </w:style>
  <w:style w:type="character" w:styleId="Lienhypertextesuivivisit">
    <w:name w:val="FollowedHyperlink"/>
    <w:basedOn w:val="Policepardfaut"/>
    <w:uiPriority w:val="99"/>
    <w:semiHidden/>
    <w:unhideWhenUsed/>
    <w:rsid w:val="000A287F"/>
    <w:rPr>
      <w:color w:val="FF00FF" w:themeColor="followedHyperlink"/>
      <w:u w:val="single"/>
    </w:rPr>
  </w:style>
  <w:style w:type="paragraph" w:styleId="NormalWeb">
    <w:name w:val="Normal (Web)"/>
    <w:basedOn w:val="Normal"/>
    <w:uiPriority w:val="99"/>
    <w:semiHidden/>
    <w:unhideWhenUsed/>
    <w:rsid w:val="006C1F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4035">
      <w:bodyDiv w:val="1"/>
      <w:marLeft w:val="0"/>
      <w:marRight w:val="0"/>
      <w:marTop w:val="0"/>
      <w:marBottom w:val="0"/>
      <w:divBdr>
        <w:top w:val="none" w:sz="0" w:space="0" w:color="auto"/>
        <w:left w:val="none" w:sz="0" w:space="0" w:color="auto"/>
        <w:bottom w:val="none" w:sz="0" w:space="0" w:color="auto"/>
        <w:right w:val="none" w:sz="0" w:space="0" w:color="auto"/>
      </w:divBdr>
      <w:divsChild>
        <w:div w:id="1050881344">
          <w:marLeft w:val="0"/>
          <w:marRight w:val="0"/>
          <w:marTop w:val="0"/>
          <w:marBottom w:val="0"/>
          <w:divBdr>
            <w:top w:val="none" w:sz="0" w:space="0" w:color="auto"/>
            <w:left w:val="none" w:sz="0" w:space="0" w:color="auto"/>
            <w:bottom w:val="none" w:sz="0" w:space="0" w:color="auto"/>
            <w:right w:val="none" w:sz="0" w:space="0" w:color="auto"/>
          </w:divBdr>
          <w:divsChild>
            <w:div w:id="1071347588">
              <w:marLeft w:val="0"/>
              <w:marRight w:val="0"/>
              <w:marTop w:val="0"/>
              <w:marBottom w:val="0"/>
              <w:divBdr>
                <w:top w:val="none" w:sz="0" w:space="0" w:color="auto"/>
                <w:left w:val="none" w:sz="0" w:space="0" w:color="auto"/>
                <w:bottom w:val="none" w:sz="0" w:space="0" w:color="auto"/>
                <w:right w:val="none" w:sz="0" w:space="0" w:color="auto"/>
              </w:divBdr>
              <w:divsChild>
                <w:div w:id="11684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7648">
      <w:bodyDiv w:val="1"/>
      <w:marLeft w:val="0"/>
      <w:marRight w:val="0"/>
      <w:marTop w:val="0"/>
      <w:marBottom w:val="0"/>
      <w:divBdr>
        <w:top w:val="none" w:sz="0" w:space="0" w:color="auto"/>
        <w:left w:val="none" w:sz="0" w:space="0" w:color="auto"/>
        <w:bottom w:val="none" w:sz="0" w:space="0" w:color="auto"/>
        <w:right w:val="none" w:sz="0" w:space="0" w:color="auto"/>
      </w:divBdr>
    </w:div>
    <w:div w:id="80877793">
      <w:bodyDiv w:val="1"/>
      <w:marLeft w:val="0"/>
      <w:marRight w:val="0"/>
      <w:marTop w:val="0"/>
      <w:marBottom w:val="0"/>
      <w:divBdr>
        <w:top w:val="none" w:sz="0" w:space="0" w:color="auto"/>
        <w:left w:val="none" w:sz="0" w:space="0" w:color="auto"/>
        <w:bottom w:val="none" w:sz="0" w:space="0" w:color="auto"/>
        <w:right w:val="none" w:sz="0" w:space="0" w:color="auto"/>
      </w:divBdr>
      <w:divsChild>
        <w:div w:id="981930686">
          <w:marLeft w:val="0"/>
          <w:marRight w:val="0"/>
          <w:marTop w:val="0"/>
          <w:marBottom w:val="0"/>
          <w:divBdr>
            <w:top w:val="none" w:sz="0" w:space="0" w:color="auto"/>
            <w:left w:val="none" w:sz="0" w:space="0" w:color="auto"/>
            <w:bottom w:val="none" w:sz="0" w:space="0" w:color="auto"/>
            <w:right w:val="none" w:sz="0" w:space="0" w:color="auto"/>
          </w:divBdr>
          <w:divsChild>
            <w:div w:id="204291334">
              <w:marLeft w:val="0"/>
              <w:marRight w:val="0"/>
              <w:marTop w:val="0"/>
              <w:marBottom w:val="0"/>
              <w:divBdr>
                <w:top w:val="none" w:sz="0" w:space="0" w:color="auto"/>
                <w:left w:val="none" w:sz="0" w:space="0" w:color="auto"/>
                <w:bottom w:val="none" w:sz="0" w:space="0" w:color="auto"/>
                <w:right w:val="none" w:sz="0" w:space="0" w:color="auto"/>
              </w:divBdr>
              <w:divsChild>
                <w:div w:id="5369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393">
      <w:bodyDiv w:val="1"/>
      <w:marLeft w:val="0"/>
      <w:marRight w:val="0"/>
      <w:marTop w:val="0"/>
      <w:marBottom w:val="0"/>
      <w:divBdr>
        <w:top w:val="none" w:sz="0" w:space="0" w:color="auto"/>
        <w:left w:val="none" w:sz="0" w:space="0" w:color="auto"/>
        <w:bottom w:val="none" w:sz="0" w:space="0" w:color="auto"/>
        <w:right w:val="none" w:sz="0" w:space="0" w:color="auto"/>
      </w:divBdr>
    </w:div>
    <w:div w:id="169761500">
      <w:bodyDiv w:val="1"/>
      <w:marLeft w:val="0"/>
      <w:marRight w:val="0"/>
      <w:marTop w:val="0"/>
      <w:marBottom w:val="0"/>
      <w:divBdr>
        <w:top w:val="none" w:sz="0" w:space="0" w:color="auto"/>
        <w:left w:val="none" w:sz="0" w:space="0" w:color="auto"/>
        <w:bottom w:val="none" w:sz="0" w:space="0" w:color="auto"/>
        <w:right w:val="none" w:sz="0" w:space="0" w:color="auto"/>
      </w:divBdr>
      <w:divsChild>
        <w:div w:id="1906181581">
          <w:marLeft w:val="0"/>
          <w:marRight w:val="0"/>
          <w:marTop w:val="0"/>
          <w:marBottom w:val="0"/>
          <w:divBdr>
            <w:top w:val="none" w:sz="0" w:space="0" w:color="auto"/>
            <w:left w:val="none" w:sz="0" w:space="0" w:color="auto"/>
            <w:bottom w:val="none" w:sz="0" w:space="0" w:color="auto"/>
            <w:right w:val="none" w:sz="0" w:space="0" w:color="auto"/>
          </w:divBdr>
          <w:divsChild>
            <w:div w:id="1927611909">
              <w:marLeft w:val="0"/>
              <w:marRight w:val="0"/>
              <w:marTop w:val="0"/>
              <w:marBottom w:val="0"/>
              <w:divBdr>
                <w:top w:val="none" w:sz="0" w:space="0" w:color="auto"/>
                <w:left w:val="none" w:sz="0" w:space="0" w:color="auto"/>
                <w:bottom w:val="none" w:sz="0" w:space="0" w:color="auto"/>
                <w:right w:val="none" w:sz="0" w:space="0" w:color="auto"/>
              </w:divBdr>
              <w:divsChild>
                <w:div w:id="16739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5146">
      <w:bodyDiv w:val="1"/>
      <w:marLeft w:val="0"/>
      <w:marRight w:val="0"/>
      <w:marTop w:val="0"/>
      <w:marBottom w:val="0"/>
      <w:divBdr>
        <w:top w:val="none" w:sz="0" w:space="0" w:color="auto"/>
        <w:left w:val="none" w:sz="0" w:space="0" w:color="auto"/>
        <w:bottom w:val="none" w:sz="0" w:space="0" w:color="auto"/>
        <w:right w:val="none" w:sz="0" w:space="0" w:color="auto"/>
      </w:divBdr>
      <w:divsChild>
        <w:div w:id="2137990033">
          <w:marLeft w:val="0"/>
          <w:marRight w:val="0"/>
          <w:marTop w:val="0"/>
          <w:marBottom w:val="0"/>
          <w:divBdr>
            <w:top w:val="none" w:sz="0" w:space="0" w:color="auto"/>
            <w:left w:val="none" w:sz="0" w:space="0" w:color="auto"/>
            <w:bottom w:val="none" w:sz="0" w:space="0" w:color="auto"/>
            <w:right w:val="none" w:sz="0" w:space="0" w:color="auto"/>
          </w:divBdr>
          <w:divsChild>
            <w:div w:id="1496410403">
              <w:marLeft w:val="0"/>
              <w:marRight w:val="0"/>
              <w:marTop w:val="0"/>
              <w:marBottom w:val="0"/>
              <w:divBdr>
                <w:top w:val="none" w:sz="0" w:space="0" w:color="auto"/>
                <w:left w:val="none" w:sz="0" w:space="0" w:color="auto"/>
                <w:bottom w:val="none" w:sz="0" w:space="0" w:color="auto"/>
                <w:right w:val="none" w:sz="0" w:space="0" w:color="auto"/>
              </w:divBdr>
              <w:divsChild>
                <w:div w:id="7133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68194">
      <w:bodyDiv w:val="1"/>
      <w:marLeft w:val="0"/>
      <w:marRight w:val="0"/>
      <w:marTop w:val="0"/>
      <w:marBottom w:val="0"/>
      <w:divBdr>
        <w:top w:val="none" w:sz="0" w:space="0" w:color="auto"/>
        <w:left w:val="none" w:sz="0" w:space="0" w:color="auto"/>
        <w:bottom w:val="none" w:sz="0" w:space="0" w:color="auto"/>
        <w:right w:val="none" w:sz="0" w:space="0" w:color="auto"/>
      </w:divBdr>
    </w:div>
    <w:div w:id="338890450">
      <w:bodyDiv w:val="1"/>
      <w:marLeft w:val="0"/>
      <w:marRight w:val="0"/>
      <w:marTop w:val="0"/>
      <w:marBottom w:val="0"/>
      <w:divBdr>
        <w:top w:val="none" w:sz="0" w:space="0" w:color="auto"/>
        <w:left w:val="none" w:sz="0" w:space="0" w:color="auto"/>
        <w:bottom w:val="none" w:sz="0" w:space="0" w:color="auto"/>
        <w:right w:val="none" w:sz="0" w:space="0" w:color="auto"/>
      </w:divBdr>
    </w:div>
    <w:div w:id="450711837">
      <w:bodyDiv w:val="1"/>
      <w:marLeft w:val="0"/>
      <w:marRight w:val="0"/>
      <w:marTop w:val="0"/>
      <w:marBottom w:val="0"/>
      <w:divBdr>
        <w:top w:val="none" w:sz="0" w:space="0" w:color="auto"/>
        <w:left w:val="none" w:sz="0" w:space="0" w:color="auto"/>
        <w:bottom w:val="none" w:sz="0" w:space="0" w:color="auto"/>
        <w:right w:val="none" w:sz="0" w:space="0" w:color="auto"/>
      </w:divBdr>
      <w:divsChild>
        <w:div w:id="2093695418">
          <w:marLeft w:val="0"/>
          <w:marRight w:val="0"/>
          <w:marTop w:val="0"/>
          <w:marBottom w:val="0"/>
          <w:divBdr>
            <w:top w:val="none" w:sz="0" w:space="0" w:color="auto"/>
            <w:left w:val="none" w:sz="0" w:space="0" w:color="auto"/>
            <w:bottom w:val="none" w:sz="0" w:space="0" w:color="auto"/>
            <w:right w:val="none" w:sz="0" w:space="0" w:color="auto"/>
          </w:divBdr>
          <w:divsChild>
            <w:div w:id="2122456703">
              <w:marLeft w:val="0"/>
              <w:marRight w:val="0"/>
              <w:marTop w:val="0"/>
              <w:marBottom w:val="0"/>
              <w:divBdr>
                <w:top w:val="none" w:sz="0" w:space="0" w:color="auto"/>
                <w:left w:val="none" w:sz="0" w:space="0" w:color="auto"/>
                <w:bottom w:val="none" w:sz="0" w:space="0" w:color="auto"/>
                <w:right w:val="none" w:sz="0" w:space="0" w:color="auto"/>
              </w:divBdr>
              <w:divsChild>
                <w:div w:id="1950819741">
                  <w:marLeft w:val="0"/>
                  <w:marRight w:val="0"/>
                  <w:marTop w:val="0"/>
                  <w:marBottom w:val="0"/>
                  <w:divBdr>
                    <w:top w:val="none" w:sz="0" w:space="0" w:color="auto"/>
                    <w:left w:val="none" w:sz="0" w:space="0" w:color="auto"/>
                    <w:bottom w:val="none" w:sz="0" w:space="0" w:color="auto"/>
                    <w:right w:val="none" w:sz="0" w:space="0" w:color="auto"/>
                  </w:divBdr>
                  <w:divsChild>
                    <w:div w:id="2577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289641">
      <w:bodyDiv w:val="1"/>
      <w:marLeft w:val="0"/>
      <w:marRight w:val="0"/>
      <w:marTop w:val="0"/>
      <w:marBottom w:val="0"/>
      <w:divBdr>
        <w:top w:val="none" w:sz="0" w:space="0" w:color="auto"/>
        <w:left w:val="none" w:sz="0" w:space="0" w:color="auto"/>
        <w:bottom w:val="none" w:sz="0" w:space="0" w:color="auto"/>
        <w:right w:val="none" w:sz="0" w:space="0" w:color="auto"/>
      </w:divBdr>
      <w:divsChild>
        <w:div w:id="572353327">
          <w:marLeft w:val="0"/>
          <w:marRight w:val="0"/>
          <w:marTop w:val="0"/>
          <w:marBottom w:val="0"/>
          <w:divBdr>
            <w:top w:val="none" w:sz="0" w:space="0" w:color="auto"/>
            <w:left w:val="none" w:sz="0" w:space="0" w:color="auto"/>
            <w:bottom w:val="none" w:sz="0" w:space="0" w:color="auto"/>
            <w:right w:val="none" w:sz="0" w:space="0" w:color="auto"/>
          </w:divBdr>
          <w:divsChild>
            <w:div w:id="688067256">
              <w:marLeft w:val="0"/>
              <w:marRight w:val="0"/>
              <w:marTop w:val="0"/>
              <w:marBottom w:val="0"/>
              <w:divBdr>
                <w:top w:val="none" w:sz="0" w:space="0" w:color="auto"/>
                <w:left w:val="none" w:sz="0" w:space="0" w:color="auto"/>
                <w:bottom w:val="none" w:sz="0" w:space="0" w:color="auto"/>
                <w:right w:val="none" w:sz="0" w:space="0" w:color="auto"/>
              </w:divBdr>
              <w:divsChild>
                <w:div w:id="20311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25726">
      <w:bodyDiv w:val="1"/>
      <w:marLeft w:val="0"/>
      <w:marRight w:val="0"/>
      <w:marTop w:val="0"/>
      <w:marBottom w:val="0"/>
      <w:divBdr>
        <w:top w:val="none" w:sz="0" w:space="0" w:color="auto"/>
        <w:left w:val="none" w:sz="0" w:space="0" w:color="auto"/>
        <w:bottom w:val="none" w:sz="0" w:space="0" w:color="auto"/>
        <w:right w:val="none" w:sz="0" w:space="0" w:color="auto"/>
      </w:divBdr>
      <w:divsChild>
        <w:div w:id="1148398486">
          <w:marLeft w:val="0"/>
          <w:marRight w:val="0"/>
          <w:marTop w:val="0"/>
          <w:marBottom w:val="0"/>
          <w:divBdr>
            <w:top w:val="none" w:sz="0" w:space="0" w:color="auto"/>
            <w:left w:val="none" w:sz="0" w:space="0" w:color="auto"/>
            <w:bottom w:val="none" w:sz="0" w:space="0" w:color="auto"/>
            <w:right w:val="none" w:sz="0" w:space="0" w:color="auto"/>
          </w:divBdr>
          <w:divsChild>
            <w:div w:id="266154957">
              <w:marLeft w:val="0"/>
              <w:marRight w:val="0"/>
              <w:marTop w:val="0"/>
              <w:marBottom w:val="0"/>
              <w:divBdr>
                <w:top w:val="none" w:sz="0" w:space="0" w:color="auto"/>
                <w:left w:val="none" w:sz="0" w:space="0" w:color="auto"/>
                <w:bottom w:val="none" w:sz="0" w:space="0" w:color="auto"/>
                <w:right w:val="none" w:sz="0" w:space="0" w:color="auto"/>
              </w:divBdr>
              <w:divsChild>
                <w:div w:id="18245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8078">
      <w:bodyDiv w:val="1"/>
      <w:marLeft w:val="0"/>
      <w:marRight w:val="0"/>
      <w:marTop w:val="0"/>
      <w:marBottom w:val="0"/>
      <w:divBdr>
        <w:top w:val="none" w:sz="0" w:space="0" w:color="auto"/>
        <w:left w:val="none" w:sz="0" w:space="0" w:color="auto"/>
        <w:bottom w:val="none" w:sz="0" w:space="0" w:color="auto"/>
        <w:right w:val="none" w:sz="0" w:space="0" w:color="auto"/>
      </w:divBdr>
    </w:div>
    <w:div w:id="600602753">
      <w:bodyDiv w:val="1"/>
      <w:marLeft w:val="0"/>
      <w:marRight w:val="0"/>
      <w:marTop w:val="0"/>
      <w:marBottom w:val="0"/>
      <w:divBdr>
        <w:top w:val="none" w:sz="0" w:space="0" w:color="auto"/>
        <w:left w:val="none" w:sz="0" w:space="0" w:color="auto"/>
        <w:bottom w:val="none" w:sz="0" w:space="0" w:color="auto"/>
        <w:right w:val="none" w:sz="0" w:space="0" w:color="auto"/>
      </w:divBdr>
      <w:divsChild>
        <w:div w:id="453864053">
          <w:marLeft w:val="0"/>
          <w:marRight w:val="0"/>
          <w:marTop w:val="0"/>
          <w:marBottom w:val="0"/>
          <w:divBdr>
            <w:top w:val="none" w:sz="0" w:space="0" w:color="auto"/>
            <w:left w:val="none" w:sz="0" w:space="0" w:color="auto"/>
            <w:bottom w:val="none" w:sz="0" w:space="0" w:color="auto"/>
            <w:right w:val="none" w:sz="0" w:space="0" w:color="auto"/>
          </w:divBdr>
          <w:divsChild>
            <w:div w:id="74598151">
              <w:marLeft w:val="0"/>
              <w:marRight w:val="0"/>
              <w:marTop w:val="0"/>
              <w:marBottom w:val="0"/>
              <w:divBdr>
                <w:top w:val="none" w:sz="0" w:space="0" w:color="auto"/>
                <w:left w:val="none" w:sz="0" w:space="0" w:color="auto"/>
                <w:bottom w:val="none" w:sz="0" w:space="0" w:color="auto"/>
                <w:right w:val="none" w:sz="0" w:space="0" w:color="auto"/>
              </w:divBdr>
              <w:divsChild>
                <w:div w:id="1751151277">
                  <w:marLeft w:val="0"/>
                  <w:marRight w:val="0"/>
                  <w:marTop w:val="0"/>
                  <w:marBottom w:val="0"/>
                  <w:divBdr>
                    <w:top w:val="none" w:sz="0" w:space="0" w:color="auto"/>
                    <w:left w:val="none" w:sz="0" w:space="0" w:color="auto"/>
                    <w:bottom w:val="none" w:sz="0" w:space="0" w:color="auto"/>
                    <w:right w:val="none" w:sz="0" w:space="0" w:color="auto"/>
                  </w:divBdr>
                </w:div>
              </w:divsChild>
            </w:div>
            <w:div w:id="1699575510">
              <w:marLeft w:val="0"/>
              <w:marRight w:val="0"/>
              <w:marTop w:val="0"/>
              <w:marBottom w:val="0"/>
              <w:divBdr>
                <w:top w:val="none" w:sz="0" w:space="0" w:color="auto"/>
                <w:left w:val="none" w:sz="0" w:space="0" w:color="auto"/>
                <w:bottom w:val="none" w:sz="0" w:space="0" w:color="auto"/>
                <w:right w:val="none" w:sz="0" w:space="0" w:color="auto"/>
              </w:divBdr>
              <w:divsChild>
                <w:div w:id="2104255479">
                  <w:marLeft w:val="0"/>
                  <w:marRight w:val="0"/>
                  <w:marTop w:val="0"/>
                  <w:marBottom w:val="0"/>
                  <w:divBdr>
                    <w:top w:val="none" w:sz="0" w:space="0" w:color="auto"/>
                    <w:left w:val="none" w:sz="0" w:space="0" w:color="auto"/>
                    <w:bottom w:val="none" w:sz="0" w:space="0" w:color="auto"/>
                    <w:right w:val="none" w:sz="0" w:space="0" w:color="auto"/>
                  </w:divBdr>
                </w:div>
                <w:div w:id="583346098">
                  <w:marLeft w:val="0"/>
                  <w:marRight w:val="0"/>
                  <w:marTop w:val="0"/>
                  <w:marBottom w:val="0"/>
                  <w:divBdr>
                    <w:top w:val="none" w:sz="0" w:space="0" w:color="auto"/>
                    <w:left w:val="none" w:sz="0" w:space="0" w:color="auto"/>
                    <w:bottom w:val="none" w:sz="0" w:space="0" w:color="auto"/>
                    <w:right w:val="none" w:sz="0" w:space="0" w:color="auto"/>
                  </w:divBdr>
                </w:div>
              </w:divsChild>
            </w:div>
            <w:div w:id="746147563">
              <w:marLeft w:val="0"/>
              <w:marRight w:val="0"/>
              <w:marTop w:val="0"/>
              <w:marBottom w:val="0"/>
              <w:divBdr>
                <w:top w:val="none" w:sz="0" w:space="0" w:color="auto"/>
                <w:left w:val="none" w:sz="0" w:space="0" w:color="auto"/>
                <w:bottom w:val="none" w:sz="0" w:space="0" w:color="auto"/>
                <w:right w:val="none" w:sz="0" w:space="0" w:color="auto"/>
              </w:divBdr>
              <w:divsChild>
                <w:div w:id="3773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568383">
      <w:bodyDiv w:val="1"/>
      <w:marLeft w:val="0"/>
      <w:marRight w:val="0"/>
      <w:marTop w:val="0"/>
      <w:marBottom w:val="0"/>
      <w:divBdr>
        <w:top w:val="none" w:sz="0" w:space="0" w:color="auto"/>
        <w:left w:val="none" w:sz="0" w:space="0" w:color="auto"/>
        <w:bottom w:val="none" w:sz="0" w:space="0" w:color="auto"/>
        <w:right w:val="none" w:sz="0" w:space="0" w:color="auto"/>
      </w:divBdr>
      <w:divsChild>
        <w:div w:id="1384020017">
          <w:marLeft w:val="0"/>
          <w:marRight w:val="0"/>
          <w:marTop w:val="0"/>
          <w:marBottom w:val="0"/>
          <w:divBdr>
            <w:top w:val="none" w:sz="0" w:space="0" w:color="auto"/>
            <w:left w:val="none" w:sz="0" w:space="0" w:color="auto"/>
            <w:bottom w:val="none" w:sz="0" w:space="0" w:color="auto"/>
            <w:right w:val="none" w:sz="0" w:space="0" w:color="auto"/>
          </w:divBdr>
          <w:divsChild>
            <w:div w:id="437410824">
              <w:marLeft w:val="0"/>
              <w:marRight w:val="0"/>
              <w:marTop w:val="0"/>
              <w:marBottom w:val="0"/>
              <w:divBdr>
                <w:top w:val="none" w:sz="0" w:space="0" w:color="auto"/>
                <w:left w:val="none" w:sz="0" w:space="0" w:color="auto"/>
                <w:bottom w:val="none" w:sz="0" w:space="0" w:color="auto"/>
                <w:right w:val="none" w:sz="0" w:space="0" w:color="auto"/>
              </w:divBdr>
              <w:divsChild>
                <w:div w:id="15424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62492">
      <w:bodyDiv w:val="1"/>
      <w:marLeft w:val="0"/>
      <w:marRight w:val="0"/>
      <w:marTop w:val="0"/>
      <w:marBottom w:val="0"/>
      <w:divBdr>
        <w:top w:val="none" w:sz="0" w:space="0" w:color="auto"/>
        <w:left w:val="none" w:sz="0" w:space="0" w:color="auto"/>
        <w:bottom w:val="none" w:sz="0" w:space="0" w:color="auto"/>
        <w:right w:val="none" w:sz="0" w:space="0" w:color="auto"/>
      </w:divBdr>
      <w:divsChild>
        <w:div w:id="594636522">
          <w:marLeft w:val="0"/>
          <w:marRight w:val="0"/>
          <w:marTop w:val="0"/>
          <w:marBottom w:val="0"/>
          <w:divBdr>
            <w:top w:val="none" w:sz="0" w:space="0" w:color="auto"/>
            <w:left w:val="none" w:sz="0" w:space="0" w:color="auto"/>
            <w:bottom w:val="none" w:sz="0" w:space="0" w:color="auto"/>
            <w:right w:val="none" w:sz="0" w:space="0" w:color="auto"/>
          </w:divBdr>
          <w:divsChild>
            <w:div w:id="813105893">
              <w:marLeft w:val="0"/>
              <w:marRight w:val="0"/>
              <w:marTop w:val="0"/>
              <w:marBottom w:val="0"/>
              <w:divBdr>
                <w:top w:val="none" w:sz="0" w:space="0" w:color="auto"/>
                <w:left w:val="none" w:sz="0" w:space="0" w:color="auto"/>
                <w:bottom w:val="none" w:sz="0" w:space="0" w:color="auto"/>
                <w:right w:val="none" w:sz="0" w:space="0" w:color="auto"/>
              </w:divBdr>
              <w:divsChild>
                <w:div w:id="1783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01041">
      <w:bodyDiv w:val="1"/>
      <w:marLeft w:val="0"/>
      <w:marRight w:val="0"/>
      <w:marTop w:val="0"/>
      <w:marBottom w:val="0"/>
      <w:divBdr>
        <w:top w:val="none" w:sz="0" w:space="0" w:color="auto"/>
        <w:left w:val="none" w:sz="0" w:space="0" w:color="auto"/>
        <w:bottom w:val="none" w:sz="0" w:space="0" w:color="auto"/>
        <w:right w:val="none" w:sz="0" w:space="0" w:color="auto"/>
      </w:divBdr>
    </w:div>
    <w:div w:id="972635564">
      <w:bodyDiv w:val="1"/>
      <w:marLeft w:val="0"/>
      <w:marRight w:val="0"/>
      <w:marTop w:val="0"/>
      <w:marBottom w:val="0"/>
      <w:divBdr>
        <w:top w:val="none" w:sz="0" w:space="0" w:color="auto"/>
        <w:left w:val="none" w:sz="0" w:space="0" w:color="auto"/>
        <w:bottom w:val="none" w:sz="0" w:space="0" w:color="auto"/>
        <w:right w:val="none" w:sz="0" w:space="0" w:color="auto"/>
      </w:divBdr>
      <w:divsChild>
        <w:div w:id="828910827">
          <w:marLeft w:val="0"/>
          <w:marRight w:val="0"/>
          <w:marTop w:val="0"/>
          <w:marBottom w:val="0"/>
          <w:divBdr>
            <w:top w:val="none" w:sz="0" w:space="0" w:color="auto"/>
            <w:left w:val="none" w:sz="0" w:space="0" w:color="auto"/>
            <w:bottom w:val="none" w:sz="0" w:space="0" w:color="auto"/>
            <w:right w:val="none" w:sz="0" w:space="0" w:color="auto"/>
          </w:divBdr>
          <w:divsChild>
            <w:div w:id="873081877">
              <w:marLeft w:val="0"/>
              <w:marRight w:val="0"/>
              <w:marTop w:val="0"/>
              <w:marBottom w:val="0"/>
              <w:divBdr>
                <w:top w:val="none" w:sz="0" w:space="0" w:color="auto"/>
                <w:left w:val="none" w:sz="0" w:space="0" w:color="auto"/>
                <w:bottom w:val="none" w:sz="0" w:space="0" w:color="auto"/>
                <w:right w:val="none" w:sz="0" w:space="0" w:color="auto"/>
              </w:divBdr>
              <w:divsChild>
                <w:div w:id="21205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13080">
      <w:bodyDiv w:val="1"/>
      <w:marLeft w:val="0"/>
      <w:marRight w:val="0"/>
      <w:marTop w:val="0"/>
      <w:marBottom w:val="0"/>
      <w:divBdr>
        <w:top w:val="none" w:sz="0" w:space="0" w:color="auto"/>
        <w:left w:val="none" w:sz="0" w:space="0" w:color="auto"/>
        <w:bottom w:val="none" w:sz="0" w:space="0" w:color="auto"/>
        <w:right w:val="none" w:sz="0" w:space="0" w:color="auto"/>
      </w:divBdr>
    </w:div>
    <w:div w:id="1017001071">
      <w:bodyDiv w:val="1"/>
      <w:marLeft w:val="0"/>
      <w:marRight w:val="0"/>
      <w:marTop w:val="0"/>
      <w:marBottom w:val="0"/>
      <w:divBdr>
        <w:top w:val="none" w:sz="0" w:space="0" w:color="auto"/>
        <w:left w:val="none" w:sz="0" w:space="0" w:color="auto"/>
        <w:bottom w:val="none" w:sz="0" w:space="0" w:color="auto"/>
        <w:right w:val="none" w:sz="0" w:space="0" w:color="auto"/>
      </w:divBdr>
    </w:div>
    <w:div w:id="1118914761">
      <w:bodyDiv w:val="1"/>
      <w:marLeft w:val="0"/>
      <w:marRight w:val="0"/>
      <w:marTop w:val="0"/>
      <w:marBottom w:val="0"/>
      <w:divBdr>
        <w:top w:val="none" w:sz="0" w:space="0" w:color="auto"/>
        <w:left w:val="none" w:sz="0" w:space="0" w:color="auto"/>
        <w:bottom w:val="none" w:sz="0" w:space="0" w:color="auto"/>
        <w:right w:val="none" w:sz="0" w:space="0" w:color="auto"/>
      </w:divBdr>
    </w:div>
    <w:div w:id="1179202408">
      <w:bodyDiv w:val="1"/>
      <w:marLeft w:val="0"/>
      <w:marRight w:val="0"/>
      <w:marTop w:val="0"/>
      <w:marBottom w:val="0"/>
      <w:divBdr>
        <w:top w:val="none" w:sz="0" w:space="0" w:color="auto"/>
        <w:left w:val="none" w:sz="0" w:space="0" w:color="auto"/>
        <w:bottom w:val="none" w:sz="0" w:space="0" w:color="auto"/>
        <w:right w:val="none" w:sz="0" w:space="0" w:color="auto"/>
      </w:divBdr>
      <w:divsChild>
        <w:div w:id="907693737">
          <w:marLeft w:val="0"/>
          <w:marRight w:val="0"/>
          <w:marTop w:val="0"/>
          <w:marBottom w:val="0"/>
          <w:divBdr>
            <w:top w:val="none" w:sz="0" w:space="0" w:color="auto"/>
            <w:left w:val="none" w:sz="0" w:space="0" w:color="auto"/>
            <w:bottom w:val="none" w:sz="0" w:space="0" w:color="auto"/>
            <w:right w:val="none" w:sz="0" w:space="0" w:color="auto"/>
          </w:divBdr>
          <w:divsChild>
            <w:div w:id="543181270">
              <w:marLeft w:val="0"/>
              <w:marRight w:val="0"/>
              <w:marTop w:val="0"/>
              <w:marBottom w:val="0"/>
              <w:divBdr>
                <w:top w:val="none" w:sz="0" w:space="0" w:color="auto"/>
                <w:left w:val="none" w:sz="0" w:space="0" w:color="auto"/>
                <w:bottom w:val="none" w:sz="0" w:space="0" w:color="auto"/>
                <w:right w:val="none" w:sz="0" w:space="0" w:color="auto"/>
              </w:divBdr>
              <w:divsChild>
                <w:div w:id="16416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99903">
      <w:bodyDiv w:val="1"/>
      <w:marLeft w:val="0"/>
      <w:marRight w:val="0"/>
      <w:marTop w:val="0"/>
      <w:marBottom w:val="0"/>
      <w:divBdr>
        <w:top w:val="none" w:sz="0" w:space="0" w:color="auto"/>
        <w:left w:val="none" w:sz="0" w:space="0" w:color="auto"/>
        <w:bottom w:val="none" w:sz="0" w:space="0" w:color="auto"/>
        <w:right w:val="none" w:sz="0" w:space="0" w:color="auto"/>
      </w:divBdr>
    </w:div>
    <w:div w:id="1221207623">
      <w:bodyDiv w:val="1"/>
      <w:marLeft w:val="0"/>
      <w:marRight w:val="0"/>
      <w:marTop w:val="0"/>
      <w:marBottom w:val="0"/>
      <w:divBdr>
        <w:top w:val="none" w:sz="0" w:space="0" w:color="auto"/>
        <w:left w:val="none" w:sz="0" w:space="0" w:color="auto"/>
        <w:bottom w:val="none" w:sz="0" w:space="0" w:color="auto"/>
        <w:right w:val="none" w:sz="0" w:space="0" w:color="auto"/>
      </w:divBdr>
    </w:div>
    <w:div w:id="1320113771">
      <w:bodyDiv w:val="1"/>
      <w:marLeft w:val="0"/>
      <w:marRight w:val="0"/>
      <w:marTop w:val="0"/>
      <w:marBottom w:val="0"/>
      <w:divBdr>
        <w:top w:val="none" w:sz="0" w:space="0" w:color="auto"/>
        <w:left w:val="none" w:sz="0" w:space="0" w:color="auto"/>
        <w:bottom w:val="none" w:sz="0" w:space="0" w:color="auto"/>
        <w:right w:val="none" w:sz="0" w:space="0" w:color="auto"/>
      </w:divBdr>
      <w:divsChild>
        <w:div w:id="1824933118">
          <w:marLeft w:val="0"/>
          <w:marRight w:val="0"/>
          <w:marTop w:val="0"/>
          <w:marBottom w:val="0"/>
          <w:divBdr>
            <w:top w:val="none" w:sz="0" w:space="0" w:color="auto"/>
            <w:left w:val="none" w:sz="0" w:space="0" w:color="auto"/>
            <w:bottom w:val="none" w:sz="0" w:space="0" w:color="auto"/>
            <w:right w:val="none" w:sz="0" w:space="0" w:color="auto"/>
          </w:divBdr>
          <w:divsChild>
            <w:div w:id="869992948">
              <w:marLeft w:val="0"/>
              <w:marRight w:val="0"/>
              <w:marTop w:val="0"/>
              <w:marBottom w:val="0"/>
              <w:divBdr>
                <w:top w:val="none" w:sz="0" w:space="0" w:color="auto"/>
                <w:left w:val="none" w:sz="0" w:space="0" w:color="auto"/>
                <w:bottom w:val="none" w:sz="0" w:space="0" w:color="auto"/>
                <w:right w:val="none" w:sz="0" w:space="0" w:color="auto"/>
              </w:divBdr>
              <w:divsChild>
                <w:div w:id="20788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96869">
      <w:bodyDiv w:val="1"/>
      <w:marLeft w:val="0"/>
      <w:marRight w:val="0"/>
      <w:marTop w:val="0"/>
      <w:marBottom w:val="0"/>
      <w:divBdr>
        <w:top w:val="none" w:sz="0" w:space="0" w:color="auto"/>
        <w:left w:val="none" w:sz="0" w:space="0" w:color="auto"/>
        <w:bottom w:val="none" w:sz="0" w:space="0" w:color="auto"/>
        <w:right w:val="none" w:sz="0" w:space="0" w:color="auto"/>
      </w:divBdr>
      <w:divsChild>
        <w:div w:id="1581210652">
          <w:marLeft w:val="0"/>
          <w:marRight w:val="0"/>
          <w:marTop w:val="0"/>
          <w:marBottom w:val="0"/>
          <w:divBdr>
            <w:top w:val="none" w:sz="0" w:space="0" w:color="auto"/>
            <w:left w:val="none" w:sz="0" w:space="0" w:color="auto"/>
            <w:bottom w:val="none" w:sz="0" w:space="0" w:color="auto"/>
            <w:right w:val="none" w:sz="0" w:space="0" w:color="auto"/>
          </w:divBdr>
          <w:divsChild>
            <w:div w:id="803230288">
              <w:marLeft w:val="0"/>
              <w:marRight w:val="0"/>
              <w:marTop w:val="0"/>
              <w:marBottom w:val="0"/>
              <w:divBdr>
                <w:top w:val="none" w:sz="0" w:space="0" w:color="auto"/>
                <w:left w:val="none" w:sz="0" w:space="0" w:color="auto"/>
                <w:bottom w:val="none" w:sz="0" w:space="0" w:color="auto"/>
                <w:right w:val="none" w:sz="0" w:space="0" w:color="auto"/>
              </w:divBdr>
              <w:divsChild>
                <w:div w:id="8288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4431">
      <w:bodyDiv w:val="1"/>
      <w:marLeft w:val="0"/>
      <w:marRight w:val="0"/>
      <w:marTop w:val="0"/>
      <w:marBottom w:val="0"/>
      <w:divBdr>
        <w:top w:val="none" w:sz="0" w:space="0" w:color="auto"/>
        <w:left w:val="none" w:sz="0" w:space="0" w:color="auto"/>
        <w:bottom w:val="none" w:sz="0" w:space="0" w:color="auto"/>
        <w:right w:val="none" w:sz="0" w:space="0" w:color="auto"/>
      </w:divBdr>
      <w:divsChild>
        <w:div w:id="639654620">
          <w:marLeft w:val="0"/>
          <w:marRight w:val="0"/>
          <w:marTop w:val="0"/>
          <w:marBottom w:val="0"/>
          <w:divBdr>
            <w:top w:val="none" w:sz="0" w:space="0" w:color="auto"/>
            <w:left w:val="none" w:sz="0" w:space="0" w:color="auto"/>
            <w:bottom w:val="none" w:sz="0" w:space="0" w:color="auto"/>
            <w:right w:val="none" w:sz="0" w:space="0" w:color="auto"/>
          </w:divBdr>
          <w:divsChild>
            <w:div w:id="1527329323">
              <w:marLeft w:val="0"/>
              <w:marRight w:val="0"/>
              <w:marTop w:val="0"/>
              <w:marBottom w:val="0"/>
              <w:divBdr>
                <w:top w:val="none" w:sz="0" w:space="0" w:color="auto"/>
                <w:left w:val="none" w:sz="0" w:space="0" w:color="auto"/>
                <w:bottom w:val="none" w:sz="0" w:space="0" w:color="auto"/>
                <w:right w:val="none" w:sz="0" w:space="0" w:color="auto"/>
              </w:divBdr>
              <w:divsChild>
                <w:div w:id="627275093">
                  <w:marLeft w:val="0"/>
                  <w:marRight w:val="0"/>
                  <w:marTop w:val="0"/>
                  <w:marBottom w:val="0"/>
                  <w:divBdr>
                    <w:top w:val="none" w:sz="0" w:space="0" w:color="auto"/>
                    <w:left w:val="none" w:sz="0" w:space="0" w:color="auto"/>
                    <w:bottom w:val="none" w:sz="0" w:space="0" w:color="auto"/>
                    <w:right w:val="none" w:sz="0" w:space="0" w:color="auto"/>
                  </w:divBdr>
                  <w:divsChild>
                    <w:div w:id="7552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497544">
      <w:bodyDiv w:val="1"/>
      <w:marLeft w:val="0"/>
      <w:marRight w:val="0"/>
      <w:marTop w:val="0"/>
      <w:marBottom w:val="0"/>
      <w:divBdr>
        <w:top w:val="none" w:sz="0" w:space="0" w:color="auto"/>
        <w:left w:val="none" w:sz="0" w:space="0" w:color="auto"/>
        <w:bottom w:val="none" w:sz="0" w:space="0" w:color="auto"/>
        <w:right w:val="none" w:sz="0" w:space="0" w:color="auto"/>
      </w:divBdr>
      <w:divsChild>
        <w:div w:id="919291471">
          <w:marLeft w:val="0"/>
          <w:marRight w:val="0"/>
          <w:marTop w:val="0"/>
          <w:marBottom w:val="0"/>
          <w:divBdr>
            <w:top w:val="none" w:sz="0" w:space="0" w:color="auto"/>
            <w:left w:val="none" w:sz="0" w:space="0" w:color="auto"/>
            <w:bottom w:val="none" w:sz="0" w:space="0" w:color="auto"/>
            <w:right w:val="none" w:sz="0" w:space="0" w:color="auto"/>
          </w:divBdr>
          <w:divsChild>
            <w:div w:id="398208805">
              <w:marLeft w:val="0"/>
              <w:marRight w:val="0"/>
              <w:marTop w:val="0"/>
              <w:marBottom w:val="0"/>
              <w:divBdr>
                <w:top w:val="none" w:sz="0" w:space="0" w:color="auto"/>
                <w:left w:val="none" w:sz="0" w:space="0" w:color="auto"/>
                <w:bottom w:val="none" w:sz="0" w:space="0" w:color="auto"/>
                <w:right w:val="none" w:sz="0" w:space="0" w:color="auto"/>
              </w:divBdr>
              <w:divsChild>
                <w:div w:id="13042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5854">
      <w:bodyDiv w:val="1"/>
      <w:marLeft w:val="0"/>
      <w:marRight w:val="0"/>
      <w:marTop w:val="0"/>
      <w:marBottom w:val="0"/>
      <w:divBdr>
        <w:top w:val="none" w:sz="0" w:space="0" w:color="auto"/>
        <w:left w:val="none" w:sz="0" w:space="0" w:color="auto"/>
        <w:bottom w:val="none" w:sz="0" w:space="0" w:color="auto"/>
        <w:right w:val="none" w:sz="0" w:space="0" w:color="auto"/>
      </w:divBdr>
    </w:div>
    <w:div w:id="1592592223">
      <w:bodyDiv w:val="1"/>
      <w:marLeft w:val="0"/>
      <w:marRight w:val="0"/>
      <w:marTop w:val="0"/>
      <w:marBottom w:val="0"/>
      <w:divBdr>
        <w:top w:val="none" w:sz="0" w:space="0" w:color="auto"/>
        <w:left w:val="none" w:sz="0" w:space="0" w:color="auto"/>
        <w:bottom w:val="none" w:sz="0" w:space="0" w:color="auto"/>
        <w:right w:val="none" w:sz="0" w:space="0" w:color="auto"/>
      </w:divBdr>
      <w:divsChild>
        <w:div w:id="370620162">
          <w:marLeft w:val="0"/>
          <w:marRight w:val="0"/>
          <w:marTop w:val="0"/>
          <w:marBottom w:val="0"/>
          <w:divBdr>
            <w:top w:val="none" w:sz="0" w:space="0" w:color="auto"/>
            <w:left w:val="none" w:sz="0" w:space="0" w:color="auto"/>
            <w:bottom w:val="none" w:sz="0" w:space="0" w:color="auto"/>
            <w:right w:val="none" w:sz="0" w:space="0" w:color="auto"/>
          </w:divBdr>
          <w:divsChild>
            <w:div w:id="463041021">
              <w:marLeft w:val="0"/>
              <w:marRight w:val="0"/>
              <w:marTop w:val="0"/>
              <w:marBottom w:val="0"/>
              <w:divBdr>
                <w:top w:val="none" w:sz="0" w:space="0" w:color="auto"/>
                <w:left w:val="none" w:sz="0" w:space="0" w:color="auto"/>
                <w:bottom w:val="none" w:sz="0" w:space="0" w:color="auto"/>
                <w:right w:val="none" w:sz="0" w:space="0" w:color="auto"/>
              </w:divBdr>
              <w:divsChild>
                <w:div w:id="16300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8374">
      <w:bodyDiv w:val="1"/>
      <w:marLeft w:val="0"/>
      <w:marRight w:val="0"/>
      <w:marTop w:val="0"/>
      <w:marBottom w:val="0"/>
      <w:divBdr>
        <w:top w:val="none" w:sz="0" w:space="0" w:color="auto"/>
        <w:left w:val="none" w:sz="0" w:space="0" w:color="auto"/>
        <w:bottom w:val="none" w:sz="0" w:space="0" w:color="auto"/>
        <w:right w:val="none" w:sz="0" w:space="0" w:color="auto"/>
      </w:divBdr>
      <w:divsChild>
        <w:div w:id="72360912">
          <w:marLeft w:val="0"/>
          <w:marRight w:val="0"/>
          <w:marTop w:val="0"/>
          <w:marBottom w:val="0"/>
          <w:divBdr>
            <w:top w:val="none" w:sz="0" w:space="0" w:color="auto"/>
            <w:left w:val="none" w:sz="0" w:space="0" w:color="auto"/>
            <w:bottom w:val="none" w:sz="0" w:space="0" w:color="auto"/>
            <w:right w:val="none" w:sz="0" w:space="0" w:color="auto"/>
          </w:divBdr>
          <w:divsChild>
            <w:div w:id="1767991602">
              <w:marLeft w:val="0"/>
              <w:marRight w:val="0"/>
              <w:marTop w:val="0"/>
              <w:marBottom w:val="0"/>
              <w:divBdr>
                <w:top w:val="none" w:sz="0" w:space="0" w:color="auto"/>
                <w:left w:val="none" w:sz="0" w:space="0" w:color="auto"/>
                <w:bottom w:val="none" w:sz="0" w:space="0" w:color="auto"/>
                <w:right w:val="none" w:sz="0" w:space="0" w:color="auto"/>
              </w:divBdr>
              <w:divsChild>
                <w:div w:id="59255630">
                  <w:marLeft w:val="0"/>
                  <w:marRight w:val="0"/>
                  <w:marTop w:val="0"/>
                  <w:marBottom w:val="0"/>
                  <w:divBdr>
                    <w:top w:val="none" w:sz="0" w:space="0" w:color="auto"/>
                    <w:left w:val="none" w:sz="0" w:space="0" w:color="auto"/>
                    <w:bottom w:val="none" w:sz="0" w:space="0" w:color="auto"/>
                    <w:right w:val="none" w:sz="0" w:space="0" w:color="auto"/>
                  </w:divBdr>
                </w:div>
              </w:divsChild>
            </w:div>
            <w:div w:id="818233541">
              <w:marLeft w:val="0"/>
              <w:marRight w:val="0"/>
              <w:marTop w:val="0"/>
              <w:marBottom w:val="0"/>
              <w:divBdr>
                <w:top w:val="none" w:sz="0" w:space="0" w:color="auto"/>
                <w:left w:val="none" w:sz="0" w:space="0" w:color="auto"/>
                <w:bottom w:val="none" w:sz="0" w:space="0" w:color="auto"/>
                <w:right w:val="none" w:sz="0" w:space="0" w:color="auto"/>
              </w:divBdr>
              <w:divsChild>
                <w:div w:id="1033576041">
                  <w:marLeft w:val="0"/>
                  <w:marRight w:val="0"/>
                  <w:marTop w:val="0"/>
                  <w:marBottom w:val="0"/>
                  <w:divBdr>
                    <w:top w:val="none" w:sz="0" w:space="0" w:color="auto"/>
                    <w:left w:val="none" w:sz="0" w:space="0" w:color="auto"/>
                    <w:bottom w:val="none" w:sz="0" w:space="0" w:color="auto"/>
                    <w:right w:val="none" w:sz="0" w:space="0" w:color="auto"/>
                  </w:divBdr>
                </w:div>
              </w:divsChild>
            </w:div>
            <w:div w:id="1626615787">
              <w:marLeft w:val="0"/>
              <w:marRight w:val="0"/>
              <w:marTop w:val="0"/>
              <w:marBottom w:val="0"/>
              <w:divBdr>
                <w:top w:val="none" w:sz="0" w:space="0" w:color="auto"/>
                <w:left w:val="none" w:sz="0" w:space="0" w:color="auto"/>
                <w:bottom w:val="none" w:sz="0" w:space="0" w:color="auto"/>
                <w:right w:val="none" w:sz="0" w:space="0" w:color="auto"/>
              </w:divBdr>
              <w:divsChild>
                <w:div w:id="1516382640">
                  <w:marLeft w:val="0"/>
                  <w:marRight w:val="0"/>
                  <w:marTop w:val="0"/>
                  <w:marBottom w:val="0"/>
                  <w:divBdr>
                    <w:top w:val="none" w:sz="0" w:space="0" w:color="auto"/>
                    <w:left w:val="none" w:sz="0" w:space="0" w:color="auto"/>
                    <w:bottom w:val="none" w:sz="0" w:space="0" w:color="auto"/>
                    <w:right w:val="none" w:sz="0" w:space="0" w:color="auto"/>
                  </w:divBdr>
                </w:div>
              </w:divsChild>
            </w:div>
            <w:div w:id="1305892066">
              <w:marLeft w:val="0"/>
              <w:marRight w:val="0"/>
              <w:marTop w:val="0"/>
              <w:marBottom w:val="0"/>
              <w:divBdr>
                <w:top w:val="none" w:sz="0" w:space="0" w:color="auto"/>
                <w:left w:val="none" w:sz="0" w:space="0" w:color="auto"/>
                <w:bottom w:val="none" w:sz="0" w:space="0" w:color="auto"/>
                <w:right w:val="none" w:sz="0" w:space="0" w:color="auto"/>
              </w:divBdr>
              <w:divsChild>
                <w:div w:id="1805853640">
                  <w:marLeft w:val="0"/>
                  <w:marRight w:val="0"/>
                  <w:marTop w:val="0"/>
                  <w:marBottom w:val="0"/>
                  <w:divBdr>
                    <w:top w:val="none" w:sz="0" w:space="0" w:color="auto"/>
                    <w:left w:val="none" w:sz="0" w:space="0" w:color="auto"/>
                    <w:bottom w:val="none" w:sz="0" w:space="0" w:color="auto"/>
                    <w:right w:val="none" w:sz="0" w:space="0" w:color="auto"/>
                  </w:divBdr>
                </w:div>
              </w:divsChild>
            </w:div>
            <w:div w:id="1341808943">
              <w:marLeft w:val="0"/>
              <w:marRight w:val="0"/>
              <w:marTop w:val="0"/>
              <w:marBottom w:val="0"/>
              <w:divBdr>
                <w:top w:val="none" w:sz="0" w:space="0" w:color="auto"/>
                <w:left w:val="none" w:sz="0" w:space="0" w:color="auto"/>
                <w:bottom w:val="none" w:sz="0" w:space="0" w:color="auto"/>
                <w:right w:val="none" w:sz="0" w:space="0" w:color="auto"/>
              </w:divBdr>
              <w:divsChild>
                <w:div w:id="2081633829">
                  <w:marLeft w:val="0"/>
                  <w:marRight w:val="0"/>
                  <w:marTop w:val="0"/>
                  <w:marBottom w:val="0"/>
                  <w:divBdr>
                    <w:top w:val="none" w:sz="0" w:space="0" w:color="auto"/>
                    <w:left w:val="none" w:sz="0" w:space="0" w:color="auto"/>
                    <w:bottom w:val="none" w:sz="0" w:space="0" w:color="auto"/>
                    <w:right w:val="none" w:sz="0" w:space="0" w:color="auto"/>
                  </w:divBdr>
                </w:div>
              </w:divsChild>
            </w:div>
            <w:div w:id="2038314390">
              <w:marLeft w:val="0"/>
              <w:marRight w:val="0"/>
              <w:marTop w:val="0"/>
              <w:marBottom w:val="0"/>
              <w:divBdr>
                <w:top w:val="none" w:sz="0" w:space="0" w:color="auto"/>
                <w:left w:val="none" w:sz="0" w:space="0" w:color="auto"/>
                <w:bottom w:val="none" w:sz="0" w:space="0" w:color="auto"/>
                <w:right w:val="none" w:sz="0" w:space="0" w:color="auto"/>
              </w:divBdr>
              <w:divsChild>
                <w:div w:id="1928684250">
                  <w:marLeft w:val="0"/>
                  <w:marRight w:val="0"/>
                  <w:marTop w:val="0"/>
                  <w:marBottom w:val="0"/>
                  <w:divBdr>
                    <w:top w:val="none" w:sz="0" w:space="0" w:color="auto"/>
                    <w:left w:val="none" w:sz="0" w:space="0" w:color="auto"/>
                    <w:bottom w:val="none" w:sz="0" w:space="0" w:color="auto"/>
                    <w:right w:val="none" w:sz="0" w:space="0" w:color="auto"/>
                  </w:divBdr>
                </w:div>
              </w:divsChild>
            </w:div>
            <w:div w:id="1332879212">
              <w:marLeft w:val="0"/>
              <w:marRight w:val="0"/>
              <w:marTop w:val="0"/>
              <w:marBottom w:val="0"/>
              <w:divBdr>
                <w:top w:val="none" w:sz="0" w:space="0" w:color="auto"/>
                <w:left w:val="none" w:sz="0" w:space="0" w:color="auto"/>
                <w:bottom w:val="none" w:sz="0" w:space="0" w:color="auto"/>
                <w:right w:val="none" w:sz="0" w:space="0" w:color="auto"/>
              </w:divBdr>
              <w:divsChild>
                <w:div w:id="1102147991">
                  <w:marLeft w:val="0"/>
                  <w:marRight w:val="0"/>
                  <w:marTop w:val="0"/>
                  <w:marBottom w:val="0"/>
                  <w:divBdr>
                    <w:top w:val="none" w:sz="0" w:space="0" w:color="auto"/>
                    <w:left w:val="none" w:sz="0" w:space="0" w:color="auto"/>
                    <w:bottom w:val="none" w:sz="0" w:space="0" w:color="auto"/>
                    <w:right w:val="none" w:sz="0" w:space="0" w:color="auto"/>
                  </w:divBdr>
                </w:div>
              </w:divsChild>
            </w:div>
            <w:div w:id="369963195">
              <w:marLeft w:val="0"/>
              <w:marRight w:val="0"/>
              <w:marTop w:val="0"/>
              <w:marBottom w:val="0"/>
              <w:divBdr>
                <w:top w:val="none" w:sz="0" w:space="0" w:color="auto"/>
                <w:left w:val="none" w:sz="0" w:space="0" w:color="auto"/>
                <w:bottom w:val="none" w:sz="0" w:space="0" w:color="auto"/>
                <w:right w:val="none" w:sz="0" w:space="0" w:color="auto"/>
              </w:divBdr>
              <w:divsChild>
                <w:div w:id="762147462">
                  <w:marLeft w:val="0"/>
                  <w:marRight w:val="0"/>
                  <w:marTop w:val="0"/>
                  <w:marBottom w:val="0"/>
                  <w:divBdr>
                    <w:top w:val="none" w:sz="0" w:space="0" w:color="auto"/>
                    <w:left w:val="none" w:sz="0" w:space="0" w:color="auto"/>
                    <w:bottom w:val="none" w:sz="0" w:space="0" w:color="auto"/>
                    <w:right w:val="none" w:sz="0" w:space="0" w:color="auto"/>
                  </w:divBdr>
                </w:div>
              </w:divsChild>
            </w:div>
            <w:div w:id="372466158">
              <w:marLeft w:val="0"/>
              <w:marRight w:val="0"/>
              <w:marTop w:val="0"/>
              <w:marBottom w:val="0"/>
              <w:divBdr>
                <w:top w:val="none" w:sz="0" w:space="0" w:color="auto"/>
                <w:left w:val="none" w:sz="0" w:space="0" w:color="auto"/>
                <w:bottom w:val="none" w:sz="0" w:space="0" w:color="auto"/>
                <w:right w:val="none" w:sz="0" w:space="0" w:color="auto"/>
              </w:divBdr>
              <w:divsChild>
                <w:div w:id="2087026521">
                  <w:marLeft w:val="0"/>
                  <w:marRight w:val="0"/>
                  <w:marTop w:val="0"/>
                  <w:marBottom w:val="0"/>
                  <w:divBdr>
                    <w:top w:val="none" w:sz="0" w:space="0" w:color="auto"/>
                    <w:left w:val="none" w:sz="0" w:space="0" w:color="auto"/>
                    <w:bottom w:val="none" w:sz="0" w:space="0" w:color="auto"/>
                    <w:right w:val="none" w:sz="0" w:space="0" w:color="auto"/>
                  </w:divBdr>
                </w:div>
              </w:divsChild>
            </w:div>
            <w:div w:id="832524815">
              <w:marLeft w:val="0"/>
              <w:marRight w:val="0"/>
              <w:marTop w:val="0"/>
              <w:marBottom w:val="0"/>
              <w:divBdr>
                <w:top w:val="none" w:sz="0" w:space="0" w:color="auto"/>
                <w:left w:val="none" w:sz="0" w:space="0" w:color="auto"/>
                <w:bottom w:val="none" w:sz="0" w:space="0" w:color="auto"/>
                <w:right w:val="none" w:sz="0" w:space="0" w:color="auto"/>
              </w:divBdr>
              <w:divsChild>
                <w:div w:id="1257516303">
                  <w:marLeft w:val="0"/>
                  <w:marRight w:val="0"/>
                  <w:marTop w:val="0"/>
                  <w:marBottom w:val="0"/>
                  <w:divBdr>
                    <w:top w:val="none" w:sz="0" w:space="0" w:color="auto"/>
                    <w:left w:val="none" w:sz="0" w:space="0" w:color="auto"/>
                    <w:bottom w:val="none" w:sz="0" w:space="0" w:color="auto"/>
                    <w:right w:val="none" w:sz="0" w:space="0" w:color="auto"/>
                  </w:divBdr>
                </w:div>
              </w:divsChild>
            </w:div>
            <w:div w:id="1334720748">
              <w:marLeft w:val="0"/>
              <w:marRight w:val="0"/>
              <w:marTop w:val="0"/>
              <w:marBottom w:val="0"/>
              <w:divBdr>
                <w:top w:val="none" w:sz="0" w:space="0" w:color="auto"/>
                <w:left w:val="none" w:sz="0" w:space="0" w:color="auto"/>
                <w:bottom w:val="none" w:sz="0" w:space="0" w:color="auto"/>
                <w:right w:val="none" w:sz="0" w:space="0" w:color="auto"/>
              </w:divBdr>
              <w:divsChild>
                <w:div w:id="976446346">
                  <w:marLeft w:val="0"/>
                  <w:marRight w:val="0"/>
                  <w:marTop w:val="0"/>
                  <w:marBottom w:val="0"/>
                  <w:divBdr>
                    <w:top w:val="none" w:sz="0" w:space="0" w:color="auto"/>
                    <w:left w:val="none" w:sz="0" w:space="0" w:color="auto"/>
                    <w:bottom w:val="none" w:sz="0" w:space="0" w:color="auto"/>
                    <w:right w:val="none" w:sz="0" w:space="0" w:color="auto"/>
                  </w:divBdr>
                </w:div>
              </w:divsChild>
            </w:div>
            <w:div w:id="738527788">
              <w:marLeft w:val="0"/>
              <w:marRight w:val="0"/>
              <w:marTop w:val="0"/>
              <w:marBottom w:val="0"/>
              <w:divBdr>
                <w:top w:val="none" w:sz="0" w:space="0" w:color="auto"/>
                <w:left w:val="none" w:sz="0" w:space="0" w:color="auto"/>
                <w:bottom w:val="none" w:sz="0" w:space="0" w:color="auto"/>
                <w:right w:val="none" w:sz="0" w:space="0" w:color="auto"/>
              </w:divBdr>
              <w:divsChild>
                <w:div w:id="1023097948">
                  <w:marLeft w:val="0"/>
                  <w:marRight w:val="0"/>
                  <w:marTop w:val="0"/>
                  <w:marBottom w:val="0"/>
                  <w:divBdr>
                    <w:top w:val="none" w:sz="0" w:space="0" w:color="auto"/>
                    <w:left w:val="none" w:sz="0" w:space="0" w:color="auto"/>
                    <w:bottom w:val="none" w:sz="0" w:space="0" w:color="auto"/>
                    <w:right w:val="none" w:sz="0" w:space="0" w:color="auto"/>
                  </w:divBdr>
                </w:div>
              </w:divsChild>
            </w:div>
            <w:div w:id="1285817319">
              <w:marLeft w:val="0"/>
              <w:marRight w:val="0"/>
              <w:marTop w:val="0"/>
              <w:marBottom w:val="0"/>
              <w:divBdr>
                <w:top w:val="none" w:sz="0" w:space="0" w:color="auto"/>
                <w:left w:val="none" w:sz="0" w:space="0" w:color="auto"/>
                <w:bottom w:val="none" w:sz="0" w:space="0" w:color="auto"/>
                <w:right w:val="none" w:sz="0" w:space="0" w:color="auto"/>
              </w:divBdr>
              <w:divsChild>
                <w:div w:id="713309230">
                  <w:marLeft w:val="0"/>
                  <w:marRight w:val="0"/>
                  <w:marTop w:val="0"/>
                  <w:marBottom w:val="0"/>
                  <w:divBdr>
                    <w:top w:val="none" w:sz="0" w:space="0" w:color="auto"/>
                    <w:left w:val="none" w:sz="0" w:space="0" w:color="auto"/>
                    <w:bottom w:val="none" w:sz="0" w:space="0" w:color="auto"/>
                    <w:right w:val="none" w:sz="0" w:space="0" w:color="auto"/>
                  </w:divBdr>
                </w:div>
              </w:divsChild>
            </w:div>
            <w:div w:id="1388383868">
              <w:marLeft w:val="0"/>
              <w:marRight w:val="0"/>
              <w:marTop w:val="0"/>
              <w:marBottom w:val="0"/>
              <w:divBdr>
                <w:top w:val="none" w:sz="0" w:space="0" w:color="auto"/>
                <w:left w:val="none" w:sz="0" w:space="0" w:color="auto"/>
                <w:bottom w:val="none" w:sz="0" w:space="0" w:color="auto"/>
                <w:right w:val="none" w:sz="0" w:space="0" w:color="auto"/>
              </w:divBdr>
              <w:divsChild>
                <w:div w:id="1059861937">
                  <w:marLeft w:val="0"/>
                  <w:marRight w:val="0"/>
                  <w:marTop w:val="0"/>
                  <w:marBottom w:val="0"/>
                  <w:divBdr>
                    <w:top w:val="none" w:sz="0" w:space="0" w:color="auto"/>
                    <w:left w:val="none" w:sz="0" w:space="0" w:color="auto"/>
                    <w:bottom w:val="none" w:sz="0" w:space="0" w:color="auto"/>
                    <w:right w:val="none" w:sz="0" w:space="0" w:color="auto"/>
                  </w:divBdr>
                </w:div>
              </w:divsChild>
            </w:div>
            <w:div w:id="999162121">
              <w:marLeft w:val="0"/>
              <w:marRight w:val="0"/>
              <w:marTop w:val="0"/>
              <w:marBottom w:val="0"/>
              <w:divBdr>
                <w:top w:val="none" w:sz="0" w:space="0" w:color="auto"/>
                <w:left w:val="none" w:sz="0" w:space="0" w:color="auto"/>
                <w:bottom w:val="none" w:sz="0" w:space="0" w:color="auto"/>
                <w:right w:val="none" w:sz="0" w:space="0" w:color="auto"/>
              </w:divBdr>
              <w:divsChild>
                <w:div w:id="615065244">
                  <w:marLeft w:val="0"/>
                  <w:marRight w:val="0"/>
                  <w:marTop w:val="0"/>
                  <w:marBottom w:val="0"/>
                  <w:divBdr>
                    <w:top w:val="none" w:sz="0" w:space="0" w:color="auto"/>
                    <w:left w:val="none" w:sz="0" w:space="0" w:color="auto"/>
                    <w:bottom w:val="none" w:sz="0" w:space="0" w:color="auto"/>
                    <w:right w:val="none" w:sz="0" w:space="0" w:color="auto"/>
                  </w:divBdr>
                </w:div>
              </w:divsChild>
            </w:div>
            <w:div w:id="1056007047">
              <w:marLeft w:val="0"/>
              <w:marRight w:val="0"/>
              <w:marTop w:val="0"/>
              <w:marBottom w:val="0"/>
              <w:divBdr>
                <w:top w:val="none" w:sz="0" w:space="0" w:color="auto"/>
                <w:left w:val="none" w:sz="0" w:space="0" w:color="auto"/>
                <w:bottom w:val="none" w:sz="0" w:space="0" w:color="auto"/>
                <w:right w:val="none" w:sz="0" w:space="0" w:color="auto"/>
              </w:divBdr>
              <w:divsChild>
                <w:div w:id="1068501815">
                  <w:marLeft w:val="0"/>
                  <w:marRight w:val="0"/>
                  <w:marTop w:val="0"/>
                  <w:marBottom w:val="0"/>
                  <w:divBdr>
                    <w:top w:val="none" w:sz="0" w:space="0" w:color="auto"/>
                    <w:left w:val="none" w:sz="0" w:space="0" w:color="auto"/>
                    <w:bottom w:val="none" w:sz="0" w:space="0" w:color="auto"/>
                    <w:right w:val="none" w:sz="0" w:space="0" w:color="auto"/>
                  </w:divBdr>
                </w:div>
              </w:divsChild>
            </w:div>
            <w:div w:id="207571033">
              <w:marLeft w:val="0"/>
              <w:marRight w:val="0"/>
              <w:marTop w:val="0"/>
              <w:marBottom w:val="0"/>
              <w:divBdr>
                <w:top w:val="none" w:sz="0" w:space="0" w:color="auto"/>
                <w:left w:val="none" w:sz="0" w:space="0" w:color="auto"/>
                <w:bottom w:val="none" w:sz="0" w:space="0" w:color="auto"/>
                <w:right w:val="none" w:sz="0" w:space="0" w:color="auto"/>
              </w:divBdr>
              <w:divsChild>
                <w:div w:id="1466775876">
                  <w:marLeft w:val="0"/>
                  <w:marRight w:val="0"/>
                  <w:marTop w:val="0"/>
                  <w:marBottom w:val="0"/>
                  <w:divBdr>
                    <w:top w:val="none" w:sz="0" w:space="0" w:color="auto"/>
                    <w:left w:val="none" w:sz="0" w:space="0" w:color="auto"/>
                    <w:bottom w:val="none" w:sz="0" w:space="0" w:color="auto"/>
                    <w:right w:val="none" w:sz="0" w:space="0" w:color="auto"/>
                  </w:divBdr>
                </w:div>
              </w:divsChild>
            </w:div>
            <w:div w:id="2021464745">
              <w:marLeft w:val="0"/>
              <w:marRight w:val="0"/>
              <w:marTop w:val="0"/>
              <w:marBottom w:val="0"/>
              <w:divBdr>
                <w:top w:val="none" w:sz="0" w:space="0" w:color="auto"/>
                <w:left w:val="none" w:sz="0" w:space="0" w:color="auto"/>
                <w:bottom w:val="none" w:sz="0" w:space="0" w:color="auto"/>
                <w:right w:val="none" w:sz="0" w:space="0" w:color="auto"/>
              </w:divBdr>
              <w:divsChild>
                <w:div w:id="630281929">
                  <w:marLeft w:val="0"/>
                  <w:marRight w:val="0"/>
                  <w:marTop w:val="0"/>
                  <w:marBottom w:val="0"/>
                  <w:divBdr>
                    <w:top w:val="none" w:sz="0" w:space="0" w:color="auto"/>
                    <w:left w:val="none" w:sz="0" w:space="0" w:color="auto"/>
                    <w:bottom w:val="none" w:sz="0" w:space="0" w:color="auto"/>
                    <w:right w:val="none" w:sz="0" w:space="0" w:color="auto"/>
                  </w:divBdr>
                </w:div>
              </w:divsChild>
            </w:div>
            <w:div w:id="665475429">
              <w:marLeft w:val="0"/>
              <w:marRight w:val="0"/>
              <w:marTop w:val="0"/>
              <w:marBottom w:val="0"/>
              <w:divBdr>
                <w:top w:val="none" w:sz="0" w:space="0" w:color="auto"/>
                <w:left w:val="none" w:sz="0" w:space="0" w:color="auto"/>
                <w:bottom w:val="none" w:sz="0" w:space="0" w:color="auto"/>
                <w:right w:val="none" w:sz="0" w:space="0" w:color="auto"/>
              </w:divBdr>
              <w:divsChild>
                <w:div w:id="1742098952">
                  <w:marLeft w:val="0"/>
                  <w:marRight w:val="0"/>
                  <w:marTop w:val="0"/>
                  <w:marBottom w:val="0"/>
                  <w:divBdr>
                    <w:top w:val="none" w:sz="0" w:space="0" w:color="auto"/>
                    <w:left w:val="none" w:sz="0" w:space="0" w:color="auto"/>
                    <w:bottom w:val="none" w:sz="0" w:space="0" w:color="auto"/>
                    <w:right w:val="none" w:sz="0" w:space="0" w:color="auto"/>
                  </w:divBdr>
                </w:div>
              </w:divsChild>
            </w:div>
            <w:div w:id="1475180392">
              <w:marLeft w:val="0"/>
              <w:marRight w:val="0"/>
              <w:marTop w:val="0"/>
              <w:marBottom w:val="0"/>
              <w:divBdr>
                <w:top w:val="none" w:sz="0" w:space="0" w:color="auto"/>
                <w:left w:val="none" w:sz="0" w:space="0" w:color="auto"/>
                <w:bottom w:val="none" w:sz="0" w:space="0" w:color="auto"/>
                <w:right w:val="none" w:sz="0" w:space="0" w:color="auto"/>
              </w:divBdr>
              <w:divsChild>
                <w:div w:id="3045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0515">
      <w:bodyDiv w:val="1"/>
      <w:marLeft w:val="0"/>
      <w:marRight w:val="0"/>
      <w:marTop w:val="0"/>
      <w:marBottom w:val="0"/>
      <w:divBdr>
        <w:top w:val="none" w:sz="0" w:space="0" w:color="auto"/>
        <w:left w:val="none" w:sz="0" w:space="0" w:color="auto"/>
        <w:bottom w:val="none" w:sz="0" w:space="0" w:color="auto"/>
        <w:right w:val="none" w:sz="0" w:space="0" w:color="auto"/>
      </w:divBdr>
      <w:divsChild>
        <w:div w:id="178736019">
          <w:marLeft w:val="0"/>
          <w:marRight w:val="0"/>
          <w:marTop w:val="0"/>
          <w:marBottom w:val="0"/>
          <w:divBdr>
            <w:top w:val="none" w:sz="0" w:space="0" w:color="auto"/>
            <w:left w:val="none" w:sz="0" w:space="0" w:color="auto"/>
            <w:bottom w:val="none" w:sz="0" w:space="0" w:color="auto"/>
            <w:right w:val="none" w:sz="0" w:space="0" w:color="auto"/>
          </w:divBdr>
          <w:divsChild>
            <w:div w:id="236941040">
              <w:marLeft w:val="0"/>
              <w:marRight w:val="0"/>
              <w:marTop w:val="0"/>
              <w:marBottom w:val="0"/>
              <w:divBdr>
                <w:top w:val="none" w:sz="0" w:space="0" w:color="auto"/>
                <w:left w:val="none" w:sz="0" w:space="0" w:color="auto"/>
                <w:bottom w:val="none" w:sz="0" w:space="0" w:color="auto"/>
                <w:right w:val="none" w:sz="0" w:space="0" w:color="auto"/>
              </w:divBdr>
              <w:divsChild>
                <w:div w:id="4735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21256">
      <w:bodyDiv w:val="1"/>
      <w:marLeft w:val="0"/>
      <w:marRight w:val="0"/>
      <w:marTop w:val="0"/>
      <w:marBottom w:val="0"/>
      <w:divBdr>
        <w:top w:val="none" w:sz="0" w:space="0" w:color="auto"/>
        <w:left w:val="none" w:sz="0" w:space="0" w:color="auto"/>
        <w:bottom w:val="none" w:sz="0" w:space="0" w:color="auto"/>
        <w:right w:val="none" w:sz="0" w:space="0" w:color="auto"/>
      </w:divBdr>
    </w:div>
    <w:div w:id="1740980816">
      <w:bodyDiv w:val="1"/>
      <w:marLeft w:val="0"/>
      <w:marRight w:val="0"/>
      <w:marTop w:val="0"/>
      <w:marBottom w:val="0"/>
      <w:divBdr>
        <w:top w:val="none" w:sz="0" w:space="0" w:color="auto"/>
        <w:left w:val="none" w:sz="0" w:space="0" w:color="auto"/>
        <w:bottom w:val="none" w:sz="0" w:space="0" w:color="auto"/>
        <w:right w:val="none" w:sz="0" w:space="0" w:color="auto"/>
      </w:divBdr>
    </w:div>
    <w:div w:id="1744989779">
      <w:bodyDiv w:val="1"/>
      <w:marLeft w:val="0"/>
      <w:marRight w:val="0"/>
      <w:marTop w:val="0"/>
      <w:marBottom w:val="0"/>
      <w:divBdr>
        <w:top w:val="none" w:sz="0" w:space="0" w:color="auto"/>
        <w:left w:val="none" w:sz="0" w:space="0" w:color="auto"/>
        <w:bottom w:val="none" w:sz="0" w:space="0" w:color="auto"/>
        <w:right w:val="none" w:sz="0" w:space="0" w:color="auto"/>
      </w:divBdr>
      <w:divsChild>
        <w:div w:id="843860880">
          <w:marLeft w:val="0"/>
          <w:marRight w:val="0"/>
          <w:marTop w:val="0"/>
          <w:marBottom w:val="0"/>
          <w:divBdr>
            <w:top w:val="none" w:sz="0" w:space="0" w:color="auto"/>
            <w:left w:val="none" w:sz="0" w:space="0" w:color="auto"/>
            <w:bottom w:val="none" w:sz="0" w:space="0" w:color="auto"/>
            <w:right w:val="none" w:sz="0" w:space="0" w:color="auto"/>
          </w:divBdr>
          <w:divsChild>
            <w:div w:id="220093999">
              <w:marLeft w:val="0"/>
              <w:marRight w:val="0"/>
              <w:marTop w:val="0"/>
              <w:marBottom w:val="0"/>
              <w:divBdr>
                <w:top w:val="none" w:sz="0" w:space="0" w:color="auto"/>
                <w:left w:val="none" w:sz="0" w:space="0" w:color="auto"/>
                <w:bottom w:val="none" w:sz="0" w:space="0" w:color="auto"/>
                <w:right w:val="none" w:sz="0" w:space="0" w:color="auto"/>
              </w:divBdr>
              <w:divsChild>
                <w:div w:id="392581823">
                  <w:marLeft w:val="0"/>
                  <w:marRight w:val="0"/>
                  <w:marTop w:val="0"/>
                  <w:marBottom w:val="0"/>
                  <w:divBdr>
                    <w:top w:val="none" w:sz="0" w:space="0" w:color="auto"/>
                    <w:left w:val="none" w:sz="0" w:space="0" w:color="auto"/>
                    <w:bottom w:val="none" w:sz="0" w:space="0" w:color="auto"/>
                    <w:right w:val="none" w:sz="0" w:space="0" w:color="auto"/>
                  </w:divBdr>
                </w:div>
              </w:divsChild>
            </w:div>
            <w:div w:id="594899463">
              <w:marLeft w:val="0"/>
              <w:marRight w:val="0"/>
              <w:marTop w:val="0"/>
              <w:marBottom w:val="0"/>
              <w:divBdr>
                <w:top w:val="none" w:sz="0" w:space="0" w:color="auto"/>
                <w:left w:val="none" w:sz="0" w:space="0" w:color="auto"/>
                <w:bottom w:val="none" w:sz="0" w:space="0" w:color="auto"/>
                <w:right w:val="none" w:sz="0" w:space="0" w:color="auto"/>
              </w:divBdr>
              <w:divsChild>
                <w:div w:id="1564022106">
                  <w:marLeft w:val="0"/>
                  <w:marRight w:val="0"/>
                  <w:marTop w:val="0"/>
                  <w:marBottom w:val="0"/>
                  <w:divBdr>
                    <w:top w:val="none" w:sz="0" w:space="0" w:color="auto"/>
                    <w:left w:val="none" w:sz="0" w:space="0" w:color="auto"/>
                    <w:bottom w:val="none" w:sz="0" w:space="0" w:color="auto"/>
                    <w:right w:val="none" w:sz="0" w:space="0" w:color="auto"/>
                  </w:divBdr>
                </w:div>
              </w:divsChild>
            </w:div>
            <w:div w:id="1657805276">
              <w:marLeft w:val="0"/>
              <w:marRight w:val="0"/>
              <w:marTop w:val="0"/>
              <w:marBottom w:val="0"/>
              <w:divBdr>
                <w:top w:val="none" w:sz="0" w:space="0" w:color="auto"/>
                <w:left w:val="none" w:sz="0" w:space="0" w:color="auto"/>
                <w:bottom w:val="none" w:sz="0" w:space="0" w:color="auto"/>
                <w:right w:val="none" w:sz="0" w:space="0" w:color="auto"/>
              </w:divBdr>
              <w:divsChild>
                <w:div w:id="444034829">
                  <w:marLeft w:val="0"/>
                  <w:marRight w:val="0"/>
                  <w:marTop w:val="0"/>
                  <w:marBottom w:val="0"/>
                  <w:divBdr>
                    <w:top w:val="none" w:sz="0" w:space="0" w:color="auto"/>
                    <w:left w:val="none" w:sz="0" w:space="0" w:color="auto"/>
                    <w:bottom w:val="none" w:sz="0" w:space="0" w:color="auto"/>
                    <w:right w:val="none" w:sz="0" w:space="0" w:color="auto"/>
                  </w:divBdr>
                </w:div>
              </w:divsChild>
            </w:div>
            <w:div w:id="1121997796">
              <w:marLeft w:val="0"/>
              <w:marRight w:val="0"/>
              <w:marTop w:val="0"/>
              <w:marBottom w:val="0"/>
              <w:divBdr>
                <w:top w:val="none" w:sz="0" w:space="0" w:color="auto"/>
                <w:left w:val="none" w:sz="0" w:space="0" w:color="auto"/>
                <w:bottom w:val="none" w:sz="0" w:space="0" w:color="auto"/>
                <w:right w:val="none" w:sz="0" w:space="0" w:color="auto"/>
              </w:divBdr>
              <w:divsChild>
                <w:div w:id="633759730">
                  <w:marLeft w:val="0"/>
                  <w:marRight w:val="0"/>
                  <w:marTop w:val="0"/>
                  <w:marBottom w:val="0"/>
                  <w:divBdr>
                    <w:top w:val="none" w:sz="0" w:space="0" w:color="auto"/>
                    <w:left w:val="none" w:sz="0" w:space="0" w:color="auto"/>
                    <w:bottom w:val="none" w:sz="0" w:space="0" w:color="auto"/>
                    <w:right w:val="none" w:sz="0" w:space="0" w:color="auto"/>
                  </w:divBdr>
                </w:div>
              </w:divsChild>
            </w:div>
            <w:div w:id="476456344">
              <w:marLeft w:val="0"/>
              <w:marRight w:val="0"/>
              <w:marTop w:val="0"/>
              <w:marBottom w:val="0"/>
              <w:divBdr>
                <w:top w:val="none" w:sz="0" w:space="0" w:color="auto"/>
                <w:left w:val="none" w:sz="0" w:space="0" w:color="auto"/>
                <w:bottom w:val="none" w:sz="0" w:space="0" w:color="auto"/>
                <w:right w:val="none" w:sz="0" w:space="0" w:color="auto"/>
              </w:divBdr>
              <w:divsChild>
                <w:div w:id="80681736">
                  <w:marLeft w:val="0"/>
                  <w:marRight w:val="0"/>
                  <w:marTop w:val="0"/>
                  <w:marBottom w:val="0"/>
                  <w:divBdr>
                    <w:top w:val="none" w:sz="0" w:space="0" w:color="auto"/>
                    <w:left w:val="none" w:sz="0" w:space="0" w:color="auto"/>
                    <w:bottom w:val="none" w:sz="0" w:space="0" w:color="auto"/>
                    <w:right w:val="none" w:sz="0" w:space="0" w:color="auto"/>
                  </w:divBdr>
                </w:div>
              </w:divsChild>
            </w:div>
            <w:div w:id="1245648395">
              <w:marLeft w:val="0"/>
              <w:marRight w:val="0"/>
              <w:marTop w:val="0"/>
              <w:marBottom w:val="0"/>
              <w:divBdr>
                <w:top w:val="none" w:sz="0" w:space="0" w:color="auto"/>
                <w:left w:val="none" w:sz="0" w:space="0" w:color="auto"/>
                <w:bottom w:val="none" w:sz="0" w:space="0" w:color="auto"/>
                <w:right w:val="none" w:sz="0" w:space="0" w:color="auto"/>
              </w:divBdr>
              <w:divsChild>
                <w:div w:id="971252563">
                  <w:marLeft w:val="0"/>
                  <w:marRight w:val="0"/>
                  <w:marTop w:val="0"/>
                  <w:marBottom w:val="0"/>
                  <w:divBdr>
                    <w:top w:val="none" w:sz="0" w:space="0" w:color="auto"/>
                    <w:left w:val="none" w:sz="0" w:space="0" w:color="auto"/>
                    <w:bottom w:val="none" w:sz="0" w:space="0" w:color="auto"/>
                    <w:right w:val="none" w:sz="0" w:space="0" w:color="auto"/>
                  </w:divBdr>
                </w:div>
              </w:divsChild>
            </w:div>
            <w:div w:id="963075764">
              <w:marLeft w:val="0"/>
              <w:marRight w:val="0"/>
              <w:marTop w:val="0"/>
              <w:marBottom w:val="0"/>
              <w:divBdr>
                <w:top w:val="none" w:sz="0" w:space="0" w:color="auto"/>
                <w:left w:val="none" w:sz="0" w:space="0" w:color="auto"/>
                <w:bottom w:val="none" w:sz="0" w:space="0" w:color="auto"/>
                <w:right w:val="none" w:sz="0" w:space="0" w:color="auto"/>
              </w:divBdr>
              <w:divsChild>
                <w:div w:id="645353109">
                  <w:marLeft w:val="0"/>
                  <w:marRight w:val="0"/>
                  <w:marTop w:val="0"/>
                  <w:marBottom w:val="0"/>
                  <w:divBdr>
                    <w:top w:val="none" w:sz="0" w:space="0" w:color="auto"/>
                    <w:left w:val="none" w:sz="0" w:space="0" w:color="auto"/>
                    <w:bottom w:val="none" w:sz="0" w:space="0" w:color="auto"/>
                    <w:right w:val="none" w:sz="0" w:space="0" w:color="auto"/>
                  </w:divBdr>
                </w:div>
              </w:divsChild>
            </w:div>
            <w:div w:id="1226722591">
              <w:marLeft w:val="0"/>
              <w:marRight w:val="0"/>
              <w:marTop w:val="0"/>
              <w:marBottom w:val="0"/>
              <w:divBdr>
                <w:top w:val="none" w:sz="0" w:space="0" w:color="auto"/>
                <w:left w:val="none" w:sz="0" w:space="0" w:color="auto"/>
                <w:bottom w:val="none" w:sz="0" w:space="0" w:color="auto"/>
                <w:right w:val="none" w:sz="0" w:space="0" w:color="auto"/>
              </w:divBdr>
              <w:divsChild>
                <w:div w:id="940988027">
                  <w:marLeft w:val="0"/>
                  <w:marRight w:val="0"/>
                  <w:marTop w:val="0"/>
                  <w:marBottom w:val="0"/>
                  <w:divBdr>
                    <w:top w:val="none" w:sz="0" w:space="0" w:color="auto"/>
                    <w:left w:val="none" w:sz="0" w:space="0" w:color="auto"/>
                    <w:bottom w:val="none" w:sz="0" w:space="0" w:color="auto"/>
                    <w:right w:val="none" w:sz="0" w:space="0" w:color="auto"/>
                  </w:divBdr>
                </w:div>
              </w:divsChild>
            </w:div>
            <w:div w:id="818964233">
              <w:marLeft w:val="0"/>
              <w:marRight w:val="0"/>
              <w:marTop w:val="0"/>
              <w:marBottom w:val="0"/>
              <w:divBdr>
                <w:top w:val="none" w:sz="0" w:space="0" w:color="auto"/>
                <w:left w:val="none" w:sz="0" w:space="0" w:color="auto"/>
                <w:bottom w:val="none" w:sz="0" w:space="0" w:color="auto"/>
                <w:right w:val="none" w:sz="0" w:space="0" w:color="auto"/>
              </w:divBdr>
              <w:divsChild>
                <w:div w:id="1143740005">
                  <w:marLeft w:val="0"/>
                  <w:marRight w:val="0"/>
                  <w:marTop w:val="0"/>
                  <w:marBottom w:val="0"/>
                  <w:divBdr>
                    <w:top w:val="none" w:sz="0" w:space="0" w:color="auto"/>
                    <w:left w:val="none" w:sz="0" w:space="0" w:color="auto"/>
                    <w:bottom w:val="none" w:sz="0" w:space="0" w:color="auto"/>
                    <w:right w:val="none" w:sz="0" w:space="0" w:color="auto"/>
                  </w:divBdr>
                </w:div>
              </w:divsChild>
            </w:div>
            <w:div w:id="1000087323">
              <w:marLeft w:val="0"/>
              <w:marRight w:val="0"/>
              <w:marTop w:val="0"/>
              <w:marBottom w:val="0"/>
              <w:divBdr>
                <w:top w:val="none" w:sz="0" w:space="0" w:color="auto"/>
                <w:left w:val="none" w:sz="0" w:space="0" w:color="auto"/>
                <w:bottom w:val="none" w:sz="0" w:space="0" w:color="auto"/>
                <w:right w:val="none" w:sz="0" w:space="0" w:color="auto"/>
              </w:divBdr>
              <w:divsChild>
                <w:div w:id="992181595">
                  <w:marLeft w:val="0"/>
                  <w:marRight w:val="0"/>
                  <w:marTop w:val="0"/>
                  <w:marBottom w:val="0"/>
                  <w:divBdr>
                    <w:top w:val="none" w:sz="0" w:space="0" w:color="auto"/>
                    <w:left w:val="none" w:sz="0" w:space="0" w:color="auto"/>
                    <w:bottom w:val="none" w:sz="0" w:space="0" w:color="auto"/>
                    <w:right w:val="none" w:sz="0" w:space="0" w:color="auto"/>
                  </w:divBdr>
                </w:div>
              </w:divsChild>
            </w:div>
            <w:div w:id="1058363594">
              <w:marLeft w:val="0"/>
              <w:marRight w:val="0"/>
              <w:marTop w:val="0"/>
              <w:marBottom w:val="0"/>
              <w:divBdr>
                <w:top w:val="none" w:sz="0" w:space="0" w:color="auto"/>
                <w:left w:val="none" w:sz="0" w:space="0" w:color="auto"/>
                <w:bottom w:val="none" w:sz="0" w:space="0" w:color="auto"/>
                <w:right w:val="none" w:sz="0" w:space="0" w:color="auto"/>
              </w:divBdr>
              <w:divsChild>
                <w:div w:id="1523515393">
                  <w:marLeft w:val="0"/>
                  <w:marRight w:val="0"/>
                  <w:marTop w:val="0"/>
                  <w:marBottom w:val="0"/>
                  <w:divBdr>
                    <w:top w:val="none" w:sz="0" w:space="0" w:color="auto"/>
                    <w:left w:val="none" w:sz="0" w:space="0" w:color="auto"/>
                    <w:bottom w:val="none" w:sz="0" w:space="0" w:color="auto"/>
                    <w:right w:val="none" w:sz="0" w:space="0" w:color="auto"/>
                  </w:divBdr>
                </w:div>
              </w:divsChild>
            </w:div>
            <w:div w:id="791553990">
              <w:marLeft w:val="0"/>
              <w:marRight w:val="0"/>
              <w:marTop w:val="0"/>
              <w:marBottom w:val="0"/>
              <w:divBdr>
                <w:top w:val="none" w:sz="0" w:space="0" w:color="auto"/>
                <w:left w:val="none" w:sz="0" w:space="0" w:color="auto"/>
                <w:bottom w:val="none" w:sz="0" w:space="0" w:color="auto"/>
                <w:right w:val="none" w:sz="0" w:space="0" w:color="auto"/>
              </w:divBdr>
              <w:divsChild>
                <w:div w:id="1816752984">
                  <w:marLeft w:val="0"/>
                  <w:marRight w:val="0"/>
                  <w:marTop w:val="0"/>
                  <w:marBottom w:val="0"/>
                  <w:divBdr>
                    <w:top w:val="none" w:sz="0" w:space="0" w:color="auto"/>
                    <w:left w:val="none" w:sz="0" w:space="0" w:color="auto"/>
                    <w:bottom w:val="none" w:sz="0" w:space="0" w:color="auto"/>
                    <w:right w:val="none" w:sz="0" w:space="0" w:color="auto"/>
                  </w:divBdr>
                </w:div>
              </w:divsChild>
            </w:div>
            <w:div w:id="736822503">
              <w:marLeft w:val="0"/>
              <w:marRight w:val="0"/>
              <w:marTop w:val="0"/>
              <w:marBottom w:val="0"/>
              <w:divBdr>
                <w:top w:val="none" w:sz="0" w:space="0" w:color="auto"/>
                <w:left w:val="none" w:sz="0" w:space="0" w:color="auto"/>
                <w:bottom w:val="none" w:sz="0" w:space="0" w:color="auto"/>
                <w:right w:val="none" w:sz="0" w:space="0" w:color="auto"/>
              </w:divBdr>
              <w:divsChild>
                <w:div w:id="721100606">
                  <w:marLeft w:val="0"/>
                  <w:marRight w:val="0"/>
                  <w:marTop w:val="0"/>
                  <w:marBottom w:val="0"/>
                  <w:divBdr>
                    <w:top w:val="none" w:sz="0" w:space="0" w:color="auto"/>
                    <w:left w:val="none" w:sz="0" w:space="0" w:color="auto"/>
                    <w:bottom w:val="none" w:sz="0" w:space="0" w:color="auto"/>
                    <w:right w:val="none" w:sz="0" w:space="0" w:color="auto"/>
                  </w:divBdr>
                </w:div>
              </w:divsChild>
            </w:div>
            <w:div w:id="2120949983">
              <w:marLeft w:val="0"/>
              <w:marRight w:val="0"/>
              <w:marTop w:val="0"/>
              <w:marBottom w:val="0"/>
              <w:divBdr>
                <w:top w:val="none" w:sz="0" w:space="0" w:color="auto"/>
                <w:left w:val="none" w:sz="0" w:space="0" w:color="auto"/>
                <w:bottom w:val="none" w:sz="0" w:space="0" w:color="auto"/>
                <w:right w:val="none" w:sz="0" w:space="0" w:color="auto"/>
              </w:divBdr>
              <w:divsChild>
                <w:div w:id="454834457">
                  <w:marLeft w:val="0"/>
                  <w:marRight w:val="0"/>
                  <w:marTop w:val="0"/>
                  <w:marBottom w:val="0"/>
                  <w:divBdr>
                    <w:top w:val="none" w:sz="0" w:space="0" w:color="auto"/>
                    <w:left w:val="none" w:sz="0" w:space="0" w:color="auto"/>
                    <w:bottom w:val="none" w:sz="0" w:space="0" w:color="auto"/>
                    <w:right w:val="none" w:sz="0" w:space="0" w:color="auto"/>
                  </w:divBdr>
                </w:div>
              </w:divsChild>
            </w:div>
            <w:div w:id="65954229">
              <w:marLeft w:val="0"/>
              <w:marRight w:val="0"/>
              <w:marTop w:val="0"/>
              <w:marBottom w:val="0"/>
              <w:divBdr>
                <w:top w:val="none" w:sz="0" w:space="0" w:color="auto"/>
                <w:left w:val="none" w:sz="0" w:space="0" w:color="auto"/>
                <w:bottom w:val="none" w:sz="0" w:space="0" w:color="auto"/>
                <w:right w:val="none" w:sz="0" w:space="0" w:color="auto"/>
              </w:divBdr>
              <w:divsChild>
                <w:div w:id="268316121">
                  <w:marLeft w:val="0"/>
                  <w:marRight w:val="0"/>
                  <w:marTop w:val="0"/>
                  <w:marBottom w:val="0"/>
                  <w:divBdr>
                    <w:top w:val="none" w:sz="0" w:space="0" w:color="auto"/>
                    <w:left w:val="none" w:sz="0" w:space="0" w:color="auto"/>
                    <w:bottom w:val="none" w:sz="0" w:space="0" w:color="auto"/>
                    <w:right w:val="none" w:sz="0" w:space="0" w:color="auto"/>
                  </w:divBdr>
                </w:div>
              </w:divsChild>
            </w:div>
            <w:div w:id="1981376338">
              <w:marLeft w:val="0"/>
              <w:marRight w:val="0"/>
              <w:marTop w:val="0"/>
              <w:marBottom w:val="0"/>
              <w:divBdr>
                <w:top w:val="none" w:sz="0" w:space="0" w:color="auto"/>
                <w:left w:val="none" w:sz="0" w:space="0" w:color="auto"/>
                <w:bottom w:val="none" w:sz="0" w:space="0" w:color="auto"/>
                <w:right w:val="none" w:sz="0" w:space="0" w:color="auto"/>
              </w:divBdr>
              <w:divsChild>
                <w:div w:id="193471190">
                  <w:marLeft w:val="0"/>
                  <w:marRight w:val="0"/>
                  <w:marTop w:val="0"/>
                  <w:marBottom w:val="0"/>
                  <w:divBdr>
                    <w:top w:val="none" w:sz="0" w:space="0" w:color="auto"/>
                    <w:left w:val="none" w:sz="0" w:space="0" w:color="auto"/>
                    <w:bottom w:val="none" w:sz="0" w:space="0" w:color="auto"/>
                    <w:right w:val="none" w:sz="0" w:space="0" w:color="auto"/>
                  </w:divBdr>
                </w:div>
              </w:divsChild>
            </w:div>
            <w:div w:id="516233495">
              <w:marLeft w:val="0"/>
              <w:marRight w:val="0"/>
              <w:marTop w:val="0"/>
              <w:marBottom w:val="0"/>
              <w:divBdr>
                <w:top w:val="none" w:sz="0" w:space="0" w:color="auto"/>
                <w:left w:val="none" w:sz="0" w:space="0" w:color="auto"/>
                <w:bottom w:val="none" w:sz="0" w:space="0" w:color="auto"/>
                <w:right w:val="none" w:sz="0" w:space="0" w:color="auto"/>
              </w:divBdr>
              <w:divsChild>
                <w:div w:id="1432042134">
                  <w:marLeft w:val="0"/>
                  <w:marRight w:val="0"/>
                  <w:marTop w:val="0"/>
                  <w:marBottom w:val="0"/>
                  <w:divBdr>
                    <w:top w:val="none" w:sz="0" w:space="0" w:color="auto"/>
                    <w:left w:val="none" w:sz="0" w:space="0" w:color="auto"/>
                    <w:bottom w:val="none" w:sz="0" w:space="0" w:color="auto"/>
                    <w:right w:val="none" w:sz="0" w:space="0" w:color="auto"/>
                  </w:divBdr>
                </w:div>
              </w:divsChild>
            </w:div>
            <w:div w:id="1270628052">
              <w:marLeft w:val="0"/>
              <w:marRight w:val="0"/>
              <w:marTop w:val="0"/>
              <w:marBottom w:val="0"/>
              <w:divBdr>
                <w:top w:val="none" w:sz="0" w:space="0" w:color="auto"/>
                <w:left w:val="none" w:sz="0" w:space="0" w:color="auto"/>
                <w:bottom w:val="none" w:sz="0" w:space="0" w:color="auto"/>
                <w:right w:val="none" w:sz="0" w:space="0" w:color="auto"/>
              </w:divBdr>
              <w:divsChild>
                <w:div w:id="330915435">
                  <w:marLeft w:val="0"/>
                  <w:marRight w:val="0"/>
                  <w:marTop w:val="0"/>
                  <w:marBottom w:val="0"/>
                  <w:divBdr>
                    <w:top w:val="none" w:sz="0" w:space="0" w:color="auto"/>
                    <w:left w:val="none" w:sz="0" w:space="0" w:color="auto"/>
                    <w:bottom w:val="none" w:sz="0" w:space="0" w:color="auto"/>
                    <w:right w:val="none" w:sz="0" w:space="0" w:color="auto"/>
                  </w:divBdr>
                </w:div>
              </w:divsChild>
            </w:div>
            <w:div w:id="1494567688">
              <w:marLeft w:val="0"/>
              <w:marRight w:val="0"/>
              <w:marTop w:val="0"/>
              <w:marBottom w:val="0"/>
              <w:divBdr>
                <w:top w:val="none" w:sz="0" w:space="0" w:color="auto"/>
                <w:left w:val="none" w:sz="0" w:space="0" w:color="auto"/>
                <w:bottom w:val="none" w:sz="0" w:space="0" w:color="auto"/>
                <w:right w:val="none" w:sz="0" w:space="0" w:color="auto"/>
              </w:divBdr>
              <w:divsChild>
                <w:div w:id="1686588484">
                  <w:marLeft w:val="0"/>
                  <w:marRight w:val="0"/>
                  <w:marTop w:val="0"/>
                  <w:marBottom w:val="0"/>
                  <w:divBdr>
                    <w:top w:val="none" w:sz="0" w:space="0" w:color="auto"/>
                    <w:left w:val="none" w:sz="0" w:space="0" w:color="auto"/>
                    <w:bottom w:val="none" w:sz="0" w:space="0" w:color="auto"/>
                    <w:right w:val="none" w:sz="0" w:space="0" w:color="auto"/>
                  </w:divBdr>
                </w:div>
              </w:divsChild>
            </w:div>
            <w:div w:id="653414715">
              <w:marLeft w:val="0"/>
              <w:marRight w:val="0"/>
              <w:marTop w:val="0"/>
              <w:marBottom w:val="0"/>
              <w:divBdr>
                <w:top w:val="none" w:sz="0" w:space="0" w:color="auto"/>
                <w:left w:val="none" w:sz="0" w:space="0" w:color="auto"/>
                <w:bottom w:val="none" w:sz="0" w:space="0" w:color="auto"/>
                <w:right w:val="none" w:sz="0" w:space="0" w:color="auto"/>
              </w:divBdr>
              <w:divsChild>
                <w:div w:id="4110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9879">
      <w:bodyDiv w:val="1"/>
      <w:marLeft w:val="0"/>
      <w:marRight w:val="0"/>
      <w:marTop w:val="0"/>
      <w:marBottom w:val="0"/>
      <w:divBdr>
        <w:top w:val="none" w:sz="0" w:space="0" w:color="auto"/>
        <w:left w:val="none" w:sz="0" w:space="0" w:color="auto"/>
        <w:bottom w:val="none" w:sz="0" w:space="0" w:color="auto"/>
        <w:right w:val="none" w:sz="0" w:space="0" w:color="auto"/>
      </w:divBdr>
      <w:divsChild>
        <w:div w:id="472986430">
          <w:marLeft w:val="0"/>
          <w:marRight w:val="0"/>
          <w:marTop w:val="0"/>
          <w:marBottom w:val="0"/>
          <w:divBdr>
            <w:top w:val="none" w:sz="0" w:space="0" w:color="auto"/>
            <w:left w:val="none" w:sz="0" w:space="0" w:color="auto"/>
            <w:bottom w:val="none" w:sz="0" w:space="0" w:color="auto"/>
            <w:right w:val="none" w:sz="0" w:space="0" w:color="auto"/>
          </w:divBdr>
          <w:divsChild>
            <w:div w:id="594368625">
              <w:marLeft w:val="0"/>
              <w:marRight w:val="0"/>
              <w:marTop w:val="0"/>
              <w:marBottom w:val="0"/>
              <w:divBdr>
                <w:top w:val="none" w:sz="0" w:space="0" w:color="auto"/>
                <w:left w:val="none" w:sz="0" w:space="0" w:color="auto"/>
                <w:bottom w:val="none" w:sz="0" w:space="0" w:color="auto"/>
                <w:right w:val="none" w:sz="0" w:space="0" w:color="auto"/>
              </w:divBdr>
              <w:divsChild>
                <w:div w:id="11374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07337">
      <w:bodyDiv w:val="1"/>
      <w:marLeft w:val="0"/>
      <w:marRight w:val="0"/>
      <w:marTop w:val="0"/>
      <w:marBottom w:val="0"/>
      <w:divBdr>
        <w:top w:val="none" w:sz="0" w:space="0" w:color="auto"/>
        <w:left w:val="none" w:sz="0" w:space="0" w:color="auto"/>
        <w:bottom w:val="none" w:sz="0" w:space="0" w:color="auto"/>
        <w:right w:val="none" w:sz="0" w:space="0" w:color="auto"/>
      </w:divBdr>
    </w:div>
    <w:div w:id="1870953686">
      <w:bodyDiv w:val="1"/>
      <w:marLeft w:val="0"/>
      <w:marRight w:val="0"/>
      <w:marTop w:val="0"/>
      <w:marBottom w:val="0"/>
      <w:divBdr>
        <w:top w:val="none" w:sz="0" w:space="0" w:color="auto"/>
        <w:left w:val="none" w:sz="0" w:space="0" w:color="auto"/>
        <w:bottom w:val="none" w:sz="0" w:space="0" w:color="auto"/>
        <w:right w:val="none" w:sz="0" w:space="0" w:color="auto"/>
      </w:divBdr>
    </w:div>
    <w:div w:id="1876886153">
      <w:bodyDiv w:val="1"/>
      <w:marLeft w:val="0"/>
      <w:marRight w:val="0"/>
      <w:marTop w:val="0"/>
      <w:marBottom w:val="0"/>
      <w:divBdr>
        <w:top w:val="none" w:sz="0" w:space="0" w:color="auto"/>
        <w:left w:val="none" w:sz="0" w:space="0" w:color="auto"/>
        <w:bottom w:val="none" w:sz="0" w:space="0" w:color="auto"/>
        <w:right w:val="none" w:sz="0" w:space="0" w:color="auto"/>
      </w:divBdr>
      <w:divsChild>
        <w:div w:id="1333753878">
          <w:marLeft w:val="0"/>
          <w:marRight w:val="0"/>
          <w:marTop w:val="0"/>
          <w:marBottom w:val="0"/>
          <w:divBdr>
            <w:top w:val="none" w:sz="0" w:space="0" w:color="auto"/>
            <w:left w:val="none" w:sz="0" w:space="0" w:color="auto"/>
            <w:bottom w:val="none" w:sz="0" w:space="0" w:color="auto"/>
            <w:right w:val="none" w:sz="0" w:space="0" w:color="auto"/>
          </w:divBdr>
        </w:div>
        <w:div w:id="1627005450">
          <w:marLeft w:val="0"/>
          <w:marRight w:val="0"/>
          <w:marTop w:val="0"/>
          <w:marBottom w:val="0"/>
          <w:divBdr>
            <w:top w:val="none" w:sz="0" w:space="0" w:color="auto"/>
            <w:left w:val="none" w:sz="0" w:space="0" w:color="auto"/>
            <w:bottom w:val="none" w:sz="0" w:space="0" w:color="auto"/>
            <w:right w:val="none" w:sz="0" w:space="0" w:color="auto"/>
          </w:divBdr>
          <w:divsChild>
            <w:div w:id="1557862624">
              <w:marLeft w:val="0"/>
              <w:marRight w:val="0"/>
              <w:marTop w:val="0"/>
              <w:marBottom w:val="0"/>
              <w:divBdr>
                <w:top w:val="none" w:sz="0" w:space="0" w:color="auto"/>
                <w:left w:val="none" w:sz="0" w:space="0" w:color="auto"/>
                <w:bottom w:val="none" w:sz="0" w:space="0" w:color="auto"/>
                <w:right w:val="none" w:sz="0" w:space="0" w:color="auto"/>
              </w:divBdr>
              <w:divsChild>
                <w:div w:id="277997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89679060">
      <w:bodyDiv w:val="1"/>
      <w:marLeft w:val="0"/>
      <w:marRight w:val="0"/>
      <w:marTop w:val="0"/>
      <w:marBottom w:val="0"/>
      <w:divBdr>
        <w:top w:val="none" w:sz="0" w:space="0" w:color="auto"/>
        <w:left w:val="none" w:sz="0" w:space="0" w:color="auto"/>
        <w:bottom w:val="none" w:sz="0" w:space="0" w:color="auto"/>
        <w:right w:val="none" w:sz="0" w:space="0" w:color="auto"/>
      </w:divBdr>
    </w:div>
    <w:div w:id="2061241228">
      <w:bodyDiv w:val="1"/>
      <w:marLeft w:val="0"/>
      <w:marRight w:val="0"/>
      <w:marTop w:val="0"/>
      <w:marBottom w:val="0"/>
      <w:divBdr>
        <w:top w:val="none" w:sz="0" w:space="0" w:color="auto"/>
        <w:left w:val="none" w:sz="0" w:space="0" w:color="auto"/>
        <w:bottom w:val="none" w:sz="0" w:space="0" w:color="auto"/>
        <w:right w:val="none" w:sz="0" w:space="0" w:color="auto"/>
      </w:divBdr>
    </w:div>
    <w:div w:id="2072459112">
      <w:bodyDiv w:val="1"/>
      <w:marLeft w:val="0"/>
      <w:marRight w:val="0"/>
      <w:marTop w:val="0"/>
      <w:marBottom w:val="0"/>
      <w:divBdr>
        <w:top w:val="none" w:sz="0" w:space="0" w:color="auto"/>
        <w:left w:val="none" w:sz="0" w:space="0" w:color="auto"/>
        <w:bottom w:val="none" w:sz="0" w:space="0" w:color="auto"/>
        <w:right w:val="none" w:sz="0" w:space="0" w:color="auto"/>
      </w:divBdr>
    </w:div>
    <w:div w:id="2127309473">
      <w:bodyDiv w:val="1"/>
      <w:marLeft w:val="0"/>
      <w:marRight w:val="0"/>
      <w:marTop w:val="0"/>
      <w:marBottom w:val="0"/>
      <w:divBdr>
        <w:top w:val="none" w:sz="0" w:space="0" w:color="auto"/>
        <w:left w:val="none" w:sz="0" w:space="0" w:color="auto"/>
        <w:bottom w:val="none" w:sz="0" w:space="0" w:color="auto"/>
        <w:right w:val="none" w:sz="0" w:space="0" w:color="auto"/>
      </w:divBdr>
      <w:divsChild>
        <w:div w:id="796877724">
          <w:marLeft w:val="0"/>
          <w:marRight w:val="0"/>
          <w:marTop w:val="0"/>
          <w:marBottom w:val="0"/>
          <w:divBdr>
            <w:top w:val="none" w:sz="0" w:space="0" w:color="auto"/>
            <w:left w:val="none" w:sz="0" w:space="0" w:color="auto"/>
            <w:bottom w:val="none" w:sz="0" w:space="0" w:color="auto"/>
            <w:right w:val="none" w:sz="0" w:space="0" w:color="auto"/>
          </w:divBdr>
          <w:divsChild>
            <w:div w:id="259873523">
              <w:marLeft w:val="0"/>
              <w:marRight w:val="0"/>
              <w:marTop w:val="0"/>
              <w:marBottom w:val="0"/>
              <w:divBdr>
                <w:top w:val="none" w:sz="0" w:space="0" w:color="auto"/>
                <w:left w:val="none" w:sz="0" w:space="0" w:color="auto"/>
                <w:bottom w:val="none" w:sz="0" w:space="0" w:color="auto"/>
                <w:right w:val="none" w:sz="0" w:space="0" w:color="auto"/>
              </w:divBdr>
              <w:divsChild>
                <w:div w:id="13556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_rels/footer1.xml.rels><?xml version="1.0" encoding="UTF-8" standalone="yes"?>
<Relationships xmlns="http://schemas.openxmlformats.org/package/2006/relationships"><Relationship Id="rId1" Type="http://schemas.openxmlformats.org/officeDocument/2006/relationships/image" Target="media/image9.tiff"/></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A40D5-F7EF-184A-A1E7-C072B92C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35</Pages>
  <Words>13473</Words>
  <Characters>74105</Characters>
  <Application>Microsoft Office Word</Application>
  <DocSecurity>0</DocSecurity>
  <Lines>617</Lines>
  <Paragraphs>174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Monfort</dc:creator>
  <cp:lastModifiedBy>Francis MAMBRINI</cp:lastModifiedBy>
  <cp:revision>20</cp:revision>
  <cp:lastPrinted>2019-12-17T16:17:00Z</cp:lastPrinted>
  <dcterms:created xsi:type="dcterms:W3CDTF">2020-01-31T12:47:00Z</dcterms:created>
  <dcterms:modified xsi:type="dcterms:W3CDTF">2020-02-01T19:25:00Z</dcterms:modified>
</cp:coreProperties>
</file>